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7491" w14:textId="5388655C" w:rsidR="00431683" w:rsidRDefault="00431683" w:rsidP="00190625">
      <w:pPr>
        <w:spacing w:after="0" w:line="240" w:lineRule="auto"/>
        <w:jc w:val="both"/>
        <w:rPr>
          <w:rFonts w:eastAsia="Times New Roman" w:cs="Arial"/>
          <w:b/>
          <w:bCs/>
          <w:kern w:val="0"/>
          <w:szCs w:val="22"/>
          <w14:ligatures w14:val="none"/>
        </w:rPr>
      </w:pPr>
      <w:r w:rsidRPr="00431683">
        <w:rPr>
          <w:rFonts w:eastAsia="Times New Roman" w:cs="Arial"/>
          <w:b/>
          <w:bCs/>
          <w:kern w:val="0"/>
          <w:szCs w:val="22"/>
          <w14:ligatures w14:val="none"/>
        </w:rPr>
        <w:t xml:space="preserve">Loss of miR-29 as a mechanism of diminished anti-PD-1 response in lung cancer </w:t>
      </w:r>
    </w:p>
    <w:p w14:paraId="2CA5B266" w14:textId="72E885EB" w:rsidR="00190625" w:rsidRDefault="00190625" w:rsidP="00190625">
      <w:pPr>
        <w:spacing w:after="0" w:line="240" w:lineRule="auto"/>
        <w:jc w:val="both"/>
        <w:rPr>
          <w:rFonts w:eastAsia="Times New Roman" w:cs="Arial"/>
          <w:kern w:val="0"/>
          <w:szCs w:val="22"/>
          <w14:ligatures w14:val="none"/>
        </w:rPr>
      </w:pPr>
      <w:r>
        <w:rPr>
          <w:rFonts w:eastAsia="Times New Roman" w:cs="Arial"/>
          <w:kern w:val="0"/>
          <w:szCs w:val="22"/>
          <w14:ligatures w14:val="none"/>
        </w:rPr>
        <w:t>Jessica M. Konen</w:t>
      </w: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1</w:t>
      </w:r>
      <w:r>
        <w:rPr>
          <w:rFonts w:eastAsia="Times New Roman" w:cs="Arial"/>
          <w:kern w:val="0"/>
          <w:szCs w:val="22"/>
          <w14:ligatures w14:val="none"/>
        </w:rPr>
        <w:t>*, Lixia Diao</w:t>
      </w: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2</w:t>
      </w:r>
      <w:r>
        <w:rPr>
          <w:rFonts w:eastAsia="Times New Roman" w:cs="Arial"/>
          <w:kern w:val="0"/>
          <w:szCs w:val="22"/>
          <w14:ligatures w14:val="none"/>
        </w:rPr>
        <w:t>, Jing Wang</w:t>
      </w: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2</w:t>
      </w:r>
      <w:r>
        <w:rPr>
          <w:rFonts w:eastAsia="Times New Roman" w:cs="Arial"/>
          <w:kern w:val="0"/>
          <w:szCs w:val="22"/>
          <w14:ligatures w14:val="none"/>
        </w:rPr>
        <w:t>, Don L. Gibbons</w:t>
      </w: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3,4</w:t>
      </w:r>
    </w:p>
    <w:p w14:paraId="707250DD" w14:textId="77777777" w:rsidR="00431683" w:rsidRDefault="00431683" w:rsidP="00190625">
      <w:pPr>
        <w:spacing w:after="0" w:line="240" w:lineRule="auto"/>
        <w:jc w:val="both"/>
        <w:rPr>
          <w:rFonts w:eastAsia="Times New Roman" w:cs="Arial"/>
          <w:kern w:val="0"/>
          <w:szCs w:val="22"/>
          <w14:ligatures w14:val="none"/>
        </w:rPr>
      </w:pPr>
    </w:p>
    <w:p w14:paraId="6F33FCC7" w14:textId="210B633E" w:rsidR="00AD77AB" w:rsidRDefault="00431683" w:rsidP="00431683">
      <w:pPr>
        <w:spacing w:after="0" w:line="240" w:lineRule="auto"/>
        <w:rPr>
          <w:rFonts w:cs="Arial"/>
          <w:szCs w:val="22"/>
        </w:rPr>
      </w:pP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1</w:t>
      </w:r>
      <w:r w:rsidR="009968A7" w:rsidRPr="00AD0556">
        <w:rPr>
          <w:rFonts w:cs="Arial"/>
          <w:szCs w:val="22"/>
        </w:rPr>
        <w:t>Department of Hematology and Medical Oncology, Emory University</w:t>
      </w:r>
    </w:p>
    <w:p w14:paraId="20FE54F3" w14:textId="2ACE3443" w:rsidR="00AD77AB" w:rsidRPr="00AD0556" w:rsidRDefault="00431683" w:rsidP="00431683">
      <w:pPr>
        <w:spacing w:after="0" w:line="240" w:lineRule="auto"/>
        <w:rPr>
          <w:rFonts w:cs="Arial"/>
          <w:szCs w:val="22"/>
        </w:rPr>
      </w:pP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2</w:t>
      </w:r>
      <w:r w:rsidR="00AD77AB" w:rsidRPr="00AD0556">
        <w:rPr>
          <w:rFonts w:cs="Arial"/>
          <w:szCs w:val="22"/>
        </w:rPr>
        <w:t>Department of Bioinformatics and Computational Biology, University of Texas MD Anderson Cancer Center</w:t>
      </w:r>
    </w:p>
    <w:p w14:paraId="4E28D82D" w14:textId="5C7D17B6" w:rsidR="00431683" w:rsidRDefault="00431683" w:rsidP="00431683">
      <w:pPr>
        <w:spacing w:after="0" w:line="240" w:lineRule="auto"/>
        <w:rPr>
          <w:rFonts w:cs="Arial"/>
          <w:szCs w:val="22"/>
        </w:rPr>
      </w:pPr>
      <w:r w:rsidRPr="00190625">
        <w:rPr>
          <w:rFonts w:eastAsia="Times New Roman" w:cs="Arial"/>
          <w:kern w:val="0"/>
          <w:szCs w:val="22"/>
          <w:vertAlign w:val="superscript"/>
          <w14:ligatures w14:val="none"/>
        </w:rPr>
        <w:t>3</w:t>
      </w:r>
      <w:r w:rsidR="00EE74E3" w:rsidRPr="00AD0556">
        <w:rPr>
          <w:rFonts w:cs="Arial"/>
          <w:szCs w:val="22"/>
        </w:rPr>
        <w:t>Department of Thoracic/Head and Neck Medical Oncology, University of Texas MD Anderson Cancer Center</w:t>
      </w:r>
    </w:p>
    <w:p w14:paraId="4F481517" w14:textId="2D0850AD" w:rsidR="00431683" w:rsidRDefault="00431683" w:rsidP="00431683">
      <w:pPr>
        <w:spacing w:after="0" w:line="240" w:lineRule="auto"/>
        <w:rPr>
          <w:rFonts w:cs="Arial"/>
          <w:szCs w:val="22"/>
        </w:rPr>
      </w:pPr>
      <w:r>
        <w:rPr>
          <w:rFonts w:eastAsia="Times New Roman" w:cs="Arial"/>
          <w:kern w:val="0"/>
          <w:szCs w:val="22"/>
          <w:vertAlign w:val="superscript"/>
          <w14:ligatures w14:val="none"/>
        </w:rPr>
        <w:t>4</w:t>
      </w:r>
      <w:r w:rsidRPr="00AD0556">
        <w:rPr>
          <w:rFonts w:cs="Arial"/>
          <w:szCs w:val="22"/>
        </w:rPr>
        <w:t>Department of Molecular and Cellular Oncology, University of Texas MD Anderson Cancer Center</w:t>
      </w:r>
    </w:p>
    <w:p w14:paraId="6FD56754" w14:textId="77777777" w:rsidR="00431683" w:rsidRDefault="00431683" w:rsidP="00431683">
      <w:pPr>
        <w:spacing w:after="0" w:line="240" w:lineRule="auto"/>
        <w:rPr>
          <w:rFonts w:eastAsia="Times New Roman" w:cs="Arial"/>
          <w:kern w:val="0"/>
          <w:szCs w:val="22"/>
          <w14:ligatures w14:val="none"/>
        </w:rPr>
      </w:pPr>
    </w:p>
    <w:p w14:paraId="7410A018" w14:textId="7BD32F95" w:rsidR="00431683" w:rsidRPr="00AD0556" w:rsidRDefault="00431683" w:rsidP="00431683">
      <w:pPr>
        <w:spacing w:after="0" w:line="240" w:lineRule="auto"/>
        <w:rPr>
          <w:rFonts w:cs="Arial"/>
          <w:szCs w:val="22"/>
        </w:rPr>
      </w:pPr>
      <w:r>
        <w:rPr>
          <w:rFonts w:eastAsia="Times New Roman" w:cs="Arial"/>
          <w:kern w:val="0"/>
          <w:szCs w:val="22"/>
          <w14:ligatures w14:val="none"/>
        </w:rPr>
        <w:t>*First and corresponding author</w:t>
      </w:r>
    </w:p>
    <w:p w14:paraId="51C516C7" w14:textId="77777777" w:rsidR="00431683" w:rsidRDefault="00431683" w:rsidP="00A160A2">
      <w:pPr>
        <w:spacing w:after="0" w:line="240" w:lineRule="auto"/>
        <w:jc w:val="both"/>
        <w:rPr>
          <w:rFonts w:eastAsia="Times New Roman" w:cs="Arial"/>
          <w:kern w:val="0"/>
          <w:szCs w:val="22"/>
          <w14:ligatures w14:val="none"/>
        </w:rPr>
      </w:pPr>
    </w:p>
    <w:p w14:paraId="5548F52D" w14:textId="18F1272A" w:rsidR="00094A93" w:rsidRDefault="00190625" w:rsidP="00A160A2">
      <w:pPr>
        <w:spacing w:after="0" w:line="240" w:lineRule="auto"/>
        <w:jc w:val="both"/>
      </w:pPr>
      <w:r w:rsidRPr="00190625">
        <w:rPr>
          <w:rFonts w:eastAsia="Times New Roman" w:cs="Arial"/>
          <w:kern w:val="0"/>
          <w:szCs w:val="22"/>
          <w14:ligatures w14:val="none"/>
        </w:rPr>
        <w:t>Immunosuppressive checkpoint inhibitors (ICI), like those that block the PD-1/PD-L1 axis, have revolutionized oncological therapy, including for patients with non-small cell lung cancer (NSCLC). Clinical studies demonstrated objective response rates in 28-40% of advanced stage NSCLC patients depending on PD-L1 status. While encouraging, these data indicate that most patients demonstrate no clinical benefit or rapidly acquire resistance even in PD-L1</w:t>
      </w:r>
      <w:r w:rsidR="00115F5A">
        <w:rPr>
          <w:rFonts w:eastAsia="Times New Roman" w:cs="Arial"/>
          <w:kern w:val="0"/>
          <w:szCs w:val="22"/>
          <w14:ligatures w14:val="none"/>
        </w:rPr>
        <w:t>-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high populations. Therefore, there remains a critical need to dissect key tumor cell survival dependencies to overcome treatment resistance. To </w:t>
      </w:r>
      <w:r>
        <w:rPr>
          <w:rFonts w:eastAsia="Times New Roman" w:cs="Arial"/>
          <w:kern w:val="0"/>
          <w:szCs w:val="22"/>
          <w14:ligatures w14:val="none"/>
        </w:rPr>
        <w:t>discover tumor-driven mechanisms of anti-PD-1 resistance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, we performed single cell RNA-sequencing on KRAS/p53 mutant murine lung tumors with sensitivity or resistance to anti-PD-1 (PD1S or PD1R, respectively) and focused on predicted upstream regulators of differentially expressed genes (DEGs) in PD1R tumors, specifically within the malignant cell cluster. We found that the micro-RNA miR-29 was strongly predicted to be a post-transcriptional </w:t>
      </w:r>
      <w:r w:rsidR="00902123">
        <w:rPr>
          <w:rFonts w:eastAsia="Times New Roman" w:cs="Arial"/>
          <w:kern w:val="0"/>
          <w:szCs w:val="22"/>
          <w14:ligatures w14:val="none"/>
        </w:rPr>
        <w:t>suppressive molecule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 of </w:t>
      </w:r>
      <w:r w:rsidR="00902123">
        <w:rPr>
          <w:rFonts w:eastAsia="Times New Roman" w:cs="Arial"/>
          <w:kern w:val="0"/>
          <w:szCs w:val="22"/>
          <w14:ligatures w14:val="none"/>
        </w:rPr>
        <w:t xml:space="preserve">numerous </w:t>
      </w:r>
      <w:r w:rsidRPr="00190625">
        <w:rPr>
          <w:rFonts w:eastAsia="Times New Roman" w:cs="Arial"/>
          <w:kern w:val="0"/>
          <w:szCs w:val="22"/>
          <w14:ligatures w14:val="none"/>
        </w:rPr>
        <w:t>DEGs in the dataset</w:t>
      </w:r>
      <w:r w:rsidR="00F96D49" w:rsidRPr="00F96D49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F96D49">
        <w:rPr>
          <w:rFonts w:eastAsia="Times New Roman" w:cs="Arial"/>
          <w:kern w:val="0"/>
          <w:szCs w:val="22"/>
          <w14:ligatures w14:val="none"/>
        </w:rPr>
        <w:t xml:space="preserve">that were </w:t>
      </w:r>
      <w:r w:rsidR="00F96D49" w:rsidRPr="00190625">
        <w:rPr>
          <w:rFonts w:eastAsia="Times New Roman" w:cs="Arial"/>
          <w:kern w:val="0"/>
          <w:szCs w:val="22"/>
          <w14:ligatures w14:val="none"/>
        </w:rPr>
        <w:t>upregulated</w:t>
      </w:r>
      <w:r w:rsidR="00F96D49">
        <w:rPr>
          <w:rFonts w:eastAsia="Times New Roman" w:cs="Arial"/>
          <w:kern w:val="0"/>
          <w:szCs w:val="22"/>
          <w14:ligatures w14:val="none"/>
        </w:rPr>
        <w:t xml:space="preserve"> with resistance</w:t>
      </w:r>
      <w:r w:rsidR="00492736">
        <w:rPr>
          <w:rFonts w:eastAsia="Times New Roman" w:cs="Arial"/>
          <w:kern w:val="0"/>
          <w:szCs w:val="22"/>
          <w14:ligatures w14:val="none"/>
        </w:rPr>
        <w:t xml:space="preserve">. Thus, </w:t>
      </w:r>
      <w:r w:rsidR="00F96D49">
        <w:rPr>
          <w:rFonts w:eastAsia="Times New Roman" w:cs="Arial"/>
          <w:kern w:val="0"/>
          <w:szCs w:val="22"/>
          <w14:ligatures w14:val="none"/>
        </w:rPr>
        <w:t>we hypothesize</w:t>
      </w:r>
      <w:r w:rsidR="001345FA">
        <w:rPr>
          <w:rFonts w:eastAsia="Times New Roman" w:cs="Arial"/>
          <w:kern w:val="0"/>
          <w:szCs w:val="22"/>
          <w14:ligatures w14:val="none"/>
        </w:rPr>
        <w:t>d</w:t>
      </w:r>
      <w:r w:rsidR="0040166B">
        <w:rPr>
          <w:rFonts w:eastAsia="Times New Roman" w:cs="Arial"/>
          <w:kern w:val="0"/>
          <w:szCs w:val="22"/>
          <w14:ligatures w14:val="none"/>
        </w:rPr>
        <w:t xml:space="preserve"> that miR-29 downregulation </w:t>
      </w:r>
      <w:r w:rsidR="00384FA7">
        <w:rPr>
          <w:rFonts w:eastAsia="Times New Roman" w:cs="Arial"/>
          <w:kern w:val="0"/>
          <w:szCs w:val="22"/>
          <w14:ligatures w14:val="none"/>
        </w:rPr>
        <w:t>associated</w:t>
      </w:r>
      <w:r w:rsidR="0040166B">
        <w:rPr>
          <w:rFonts w:eastAsia="Times New Roman" w:cs="Arial"/>
          <w:kern w:val="0"/>
          <w:szCs w:val="22"/>
          <w14:ligatures w14:val="none"/>
        </w:rPr>
        <w:t xml:space="preserve"> with </w:t>
      </w:r>
      <w:r w:rsidR="00492736">
        <w:rPr>
          <w:rFonts w:eastAsia="Times New Roman" w:cs="Arial"/>
          <w:kern w:val="0"/>
          <w:szCs w:val="22"/>
          <w14:ligatures w14:val="none"/>
        </w:rPr>
        <w:t>anti-</w:t>
      </w:r>
      <w:r w:rsidR="0040166B">
        <w:rPr>
          <w:rFonts w:eastAsia="Times New Roman" w:cs="Arial"/>
          <w:kern w:val="0"/>
          <w:szCs w:val="22"/>
          <w14:ligatures w14:val="none"/>
        </w:rPr>
        <w:t>PD-1 resistance causes</w:t>
      </w:r>
      <w:r w:rsidR="000A5014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401C24">
        <w:rPr>
          <w:rFonts w:eastAsia="Times New Roman" w:cs="Arial"/>
          <w:kern w:val="0"/>
          <w:szCs w:val="22"/>
          <w14:ligatures w14:val="none"/>
        </w:rPr>
        <w:t>vast</w:t>
      </w:r>
      <w:r w:rsidR="000A5014">
        <w:rPr>
          <w:rFonts w:eastAsia="Times New Roman" w:cs="Arial"/>
          <w:kern w:val="0"/>
          <w:szCs w:val="22"/>
          <w14:ligatures w14:val="none"/>
        </w:rPr>
        <w:t xml:space="preserve"> tumor cell intrinsic and extrinsic effects on the microenvironment that diminish anti-tumor </w:t>
      </w:r>
      <w:r w:rsidR="00401C24">
        <w:rPr>
          <w:rFonts w:eastAsia="Times New Roman" w:cs="Arial"/>
          <w:kern w:val="0"/>
          <w:szCs w:val="22"/>
          <w14:ligatures w14:val="none"/>
        </w:rPr>
        <w:t>immune responses</w:t>
      </w:r>
      <w:r w:rsidR="000A5014">
        <w:rPr>
          <w:rFonts w:eastAsia="Times New Roman" w:cs="Arial"/>
          <w:kern w:val="0"/>
          <w:szCs w:val="22"/>
          <w14:ligatures w14:val="none"/>
        </w:rPr>
        <w:t>.</w:t>
      </w:r>
      <w:r w:rsidR="0040166B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C07CE6">
        <w:rPr>
          <w:rFonts w:eastAsia="Times New Roman" w:cs="Arial"/>
          <w:kern w:val="0"/>
          <w:szCs w:val="22"/>
          <w14:ligatures w14:val="none"/>
        </w:rPr>
        <w:t>Analysis of</w:t>
      </w:r>
      <w:r w:rsidR="00C07CE6" w:rsidRPr="00190625">
        <w:rPr>
          <w:rFonts w:eastAsia="Times New Roman" w:cs="Arial"/>
          <w:kern w:val="0"/>
          <w:szCs w:val="22"/>
          <w14:ligatures w14:val="none"/>
        </w:rPr>
        <w:t xml:space="preserve"> genes that correlate with miR-29 expression in TCGA lung adenocarcinoma datasets revealed positive enrichment in immune-related pathways, including adaptive immune response and T cell activation</w:t>
      </w:r>
      <w:r w:rsidR="00C07CE6">
        <w:rPr>
          <w:rFonts w:eastAsia="Times New Roman" w:cs="Arial"/>
          <w:kern w:val="0"/>
          <w:szCs w:val="22"/>
          <w14:ligatures w14:val="none"/>
        </w:rPr>
        <w:t>, by gene set enrichment analysis</w:t>
      </w:r>
      <w:r w:rsidR="00C07CE6" w:rsidRPr="00190625">
        <w:rPr>
          <w:rFonts w:eastAsia="Times New Roman" w:cs="Arial"/>
          <w:kern w:val="0"/>
          <w:szCs w:val="22"/>
          <w14:ligatures w14:val="none"/>
        </w:rPr>
        <w:t>.</w:t>
      </w:r>
      <w:r w:rsidR="00C07CE6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D76F12">
        <w:rPr>
          <w:rFonts w:eastAsia="Times New Roman" w:cs="Arial"/>
          <w:kern w:val="0"/>
          <w:szCs w:val="22"/>
          <w14:ligatures w14:val="none"/>
        </w:rPr>
        <w:t xml:space="preserve">Irrespective of treatment, patients with low miR-29 </w:t>
      </w:r>
      <w:r w:rsidR="00384FA7">
        <w:rPr>
          <w:rFonts w:eastAsia="Times New Roman" w:cs="Arial"/>
          <w:kern w:val="0"/>
          <w:szCs w:val="22"/>
          <w14:ligatures w14:val="none"/>
        </w:rPr>
        <w:t>expression</w:t>
      </w:r>
      <w:r w:rsidR="00D76F12">
        <w:rPr>
          <w:rFonts w:eastAsia="Times New Roman" w:cs="Arial"/>
          <w:kern w:val="0"/>
          <w:szCs w:val="22"/>
          <w14:ligatures w14:val="none"/>
        </w:rPr>
        <w:t xml:space="preserve"> have significantly shortened overall survival compared to miR-29-high patients. In </w:t>
      </w:r>
      <w:r w:rsidR="003F4120">
        <w:rPr>
          <w:rFonts w:eastAsia="Times New Roman" w:cs="Arial"/>
          <w:kern w:val="0"/>
          <w:szCs w:val="22"/>
          <w14:ligatures w14:val="none"/>
        </w:rPr>
        <w:t>the</w:t>
      </w:r>
      <w:r w:rsidR="00D76F12">
        <w:rPr>
          <w:rFonts w:eastAsia="Times New Roman" w:cs="Arial"/>
          <w:kern w:val="0"/>
          <w:szCs w:val="22"/>
          <w14:ligatures w14:val="none"/>
        </w:rPr>
        <w:t xml:space="preserve"> PD1R murine models, w</w:t>
      </w:r>
      <w:r w:rsidRPr="00190625">
        <w:rPr>
          <w:rFonts w:eastAsia="Times New Roman" w:cs="Arial"/>
          <w:kern w:val="0"/>
          <w:szCs w:val="22"/>
          <w14:ligatures w14:val="none"/>
        </w:rPr>
        <w:t>e confirmed miR-29 downregulation</w:t>
      </w:r>
      <w:r w:rsidR="00432BD2">
        <w:rPr>
          <w:rFonts w:eastAsia="Times New Roman" w:cs="Arial"/>
          <w:kern w:val="0"/>
          <w:szCs w:val="22"/>
          <w14:ligatures w14:val="none"/>
        </w:rPr>
        <w:t xml:space="preserve"> compared to PD1S models</w:t>
      </w:r>
      <w:r w:rsidR="003F4120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D76F12">
        <w:rPr>
          <w:rFonts w:eastAsia="Times New Roman" w:cs="Arial"/>
          <w:kern w:val="0"/>
          <w:szCs w:val="22"/>
          <w14:ligatures w14:val="none"/>
        </w:rPr>
        <w:t>and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D76F12">
        <w:rPr>
          <w:rFonts w:eastAsia="Times New Roman" w:cs="Arial"/>
          <w:kern w:val="0"/>
          <w:szCs w:val="22"/>
          <w14:ligatures w14:val="none"/>
        </w:rPr>
        <w:t>probed for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 several predicted/known miR-29 target genes</w:t>
      </w:r>
      <w:r w:rsidR="00D76F12">
        <w:rPr>
          <w:rFonts w:eastAsia="Times New Roman" w:cs="Arial"/>
          <w:kern w:val="0"/>
          <w:szCs w:val="22"/>
          <w14:ligatures w14:val="none"/>
        </w:rPr>
        <w:t>. Specifically</w:t>
      </w:r>
      <w:r w:rsidRPr="00190625">
        <w:rPr>
          <w:rFonts w:eastAsia="Times New Roman" w:cs="Arial"/>
          <w:kern w:val="0"/>
          <w:szCs w:val="22"/>
          <w14:ligatures w14:val="none"/>
        </w:rPr>
        <w:t>,</w:t>
      </w:r>
      <w:r w:rsidR="00D76F12">
        <w:rPr>
          <w:rFonts w:eastAsia="Times New Roman" w:cs="Arial"/>
          <w:kern w:val="0"/>
          <w:szCs w:val="22"/>
          <w14:ligatures w14:val="none"/>
        </w:rPr>
        <w:t xml:space="preserve"> the PD1R models</w:t>
      </w:r>
      <w:r w:rsidR="00A160A2">
        <w:rPr>
          <w:rFonts w:eastAsia="Times New Roman" w:cs="Arial"/>
          <w:kern w:val="0"/>
          <w:szCs w:val="22"/>
          <w14:ligatures w14:val="none"/>
        </w:rPr>
        <w:t xml:space="preserve"> had significantly increased expression of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A160A2">
        <w:rPr>
          <w:rFonts w:eastAsia="Times New Roman" w:cs="Arial"/>
          <w:kern w:val="0"/>
          <w:szCs w:val="22"/>
          <w14:ligatures w14:val="none"/>
        </w:rPr>
        <w:t>several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 immunosuppressive molecules</w:t>
      </w:r>
      <w:r w:rsidR="00A160A2">
        <w:rPr>
          <w:rFonts w:eastAsia="Times New Roman" w:cs="Arial"/>
          <w:kern w:val="0"/>
          <w:szCs w:val="22"/>
          <w14:ligatures w14:val="none"/>
        </w:rPr>
        <w:t xml:space="preserve"> including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 </w:t>
      </w:r>
      <w:r w:rsidRPr="00190625">
        <w:rPr>
          <w:rFonts w:eastAsia="Times New Roman" w:cs="Arial"/>
          <w:i/>
          <w:iCs/>
          <w:kern w:val="0"/>
          <w:szCs w:val="22"/>
          <w14:ligatures w14:val="none"/>
        </w:rPr>
        <w:t>Enpp2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/ATX (as published recently by our group) and </w:t>
      </w:r>
      <w:r w:rsidRPr="00190625">
        <w:rPr>
          <w:rFonts w:eastAsia="Times New Roman" w:cs="Arial"/>
          <w:i/>
          <w:iCs/>
          <w:kern w:val="0"/>
          <w:szCs w:val="22"/>
          <w14:ligatures w14:val="none"/>
        </w:rPr>
        <w:t>Cd276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/B7-H3, and genes involved in </w:t>
      </w:r>
      <w:proofErr w:type="spellStart"/>
      <w:proofErr w:type="gramStart"/>
      <w:r w:rsidRPr="00190625">
        <w:rPr>
          <w:rFonts w:eastAsia="Times New Roman" w:cs="Arial"/>
          <w:kern w:val="0"/>
          <w:szCs w:val="22"/>
          <w14:ligatures w14:val="none"/>
        </w:rPr>
        <w:t>tumor:extracellular</w:t>
      </w:r>
      <w:proofErr w:type="spellEnd"/>
      <w:proofErr w:type="gramEnd"/>
      <w:r w:rsidRPr="00190625">
        <w:rPr>
          <w:rFonts w:eastAsia="Times New Roman" w:cs="Arial"/>
          <w:kern w:val="0"/>
          <w:szCs w:val="22"/>
          <w14:ligatures w14:val="none"/>
        </w:rPr>
        <w:t xml:space="preserve"> matrix (ECM) interactions and metastasis like </w:t>
      </w:r>
      <w:r w:rsidRPr="00190625">
        <w:rPr>
          <w:rFonts w:eastAsia="Times New Roman" w:cs="Arial"/>
          <w:i/>
          <w:iCs/>
          <w:kern w:val="0"/>
          <w:szCs w:val="22"/>
          <w14:ligatures w14:val="none"/>
        </w:rPr>
        <w:t>Lamc1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, </w:t>
      </w:r>
      <w:r w:rsidRPr="00190625">
        <w:rPr>
          <w:rFonts w:eastAsia="Times New Roman" w:cs="Arial"/>
          <w:i/>
          <w:iCs/>
          <w:kern w:val="0"/>
          <w:szCs w:val="22"/>
          <w14:ligatures w14:val="none"/>
        </w:rPr>
        <w:t xml:space="preserve">Itgb1, 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and </w:t>
      </w:r>
      <w:r w:rsidRPr="00190625">
        <w:rPr>
          <w:rFonts w:eastAsia="Times New Roman" w:cs="Arial"/>
          <w:i/>
          <w:iCs/>
          <w:kern w:val="0"/>
          <w:szCs w:val="22"/>
          <w14:ligatures w14:val="none"/>
        </w:rPr>
        <w:t>Snail1</w:t>
      </w:r>
      <w:r w:rsidRPr="00190625">
        <w:rPr>
          <w:rFonts w:eastAsia="Times New Roman" w:cs="Arial"/>
          <w:kern w:val="0"/>
          <w:szCs w:val="22"/>
          <w14:ligatures w14:val="none"/>
        </w:rPr>
        <w:t xml:space="preserve">. </w:t>
      </w:r>
      <w:r w:rsidR="003F4120">
        <w:rPr>
          <w:rFonts w:eastAsia="Times New Roman" w:cs="Arial"/>
          <w:kern w:val="0"/>
          <w:szCs w:val="22"/>
          <w14:ligatures w14:val="none"/>
        </w:rPr>
        <w:t xml:space="preserve">Re-expression of miR-29 in PD1R cells was sufficient to </w:t>
      </w:r>
      <w:r w:rsidR="005C0583">
        <w:rPr>
          <w:rFonts w:eastAsia="Times New Roman" w:cs="Arial"/>
          <w:kern w:val="0"/>
          <w:szCs w:val="22"/>
          <w14:ligatures w14:val="none"/>
        </w:rPr>
        <w:t xml:space="preserve">downregulate expression of these genes and importantly, </w:t>
      </w:r>
      <w:r w:rsidR="003F4120">
        <w:rPr>
          <w:rFonts w:eastAsia="Times New Roman" w:cs="Arial"/>
          <w:kern w:val="0"/>
          <w:szCs w:val="22"/>
          <w14:ligatures w14:val="none"/>
        </w:rPr>
        <w:t xml:space="preserve">reinvigorate CD8+ T cell proliferation </w:t>
      </w:r>
      <w:r w:rsidR="00B42713">
        <w:rPr>
          <w:rFonts w:eastAsia="Times New Roman" w:cs="Arial"/>
          <w:kern w:val="0"/>
          <w:szCs w:val="22"/>
          <w14:ligatures w14:val="none"/>
        </w:rPr>
        <w:t>while decreasing expression of exhaustion markers PD-1 and LAG-3</w:t>
      </w:r>
      <w:r w:rsidR="003F4120">
        <w:rPr>
          <w:rFonts w:eastAsia="Times New Roman" w:cs="Arial"/>
          <w:kern w:val="0"/>
          <w:szCs w:val="22"/>
          <w14:ligatures w14:val="none"/>
        </w:rPr>
        <w:t xml:space="preserve">. </w:t>
      </w:r>
      <w:r w:rsidR="00115F5A">
        <w:rPr>
          <w:rFonts w:eastAsia="Times New Roman" w:cs="Arial"/>
          <w:kern w:val="0"/>
          <w:szCs w:val="22"/>
          <w14:ligatures w14:val="none"/>
        </w:rPr>
        <w:t xml:space="preserve">Together, our data </w:t>
      </w:r>
      <w:r w:rsidR="008069EF">
        <w:rPr>
          <w:rFonts w:eastAsia="Times New Roman" w:cs="Arial"/>
          <w:kern w:val="0"/>
          <w:szCs w:val="22"/>
          <w14:ligatures w14:val="none"/>
        </w:rPr>
        <w:t xml:space="preserve">provide evidence that the </w:t>
      </w:r>
      <w:r w:rsidR="00810B1E">
        <w:rPr>
          <w:rFonts w:eastAsia="Times New Roman" w:cs="Arial"/>
          <w:kern w:val="0"/>
          <w:szCs w:val="22"/>
          <w14:ligatures w14:val="none"/>
        </w:rPr>
        <w:t xml:space="preserve">miR-29 axis </w:t>
      </w:r>
      <w:r w:rsidR="008069EF">
        <w:rPr>
          <w:rFonts w:eastAsia="Times New Roman" w:cs="Arial"/>
          <w:kern w:val="0"/>
          <w:szCs w:val="22"/>
          <w14:ligatures w14:val="none"/>
        </w:rPr>
        <w:t xml:space="preserve">serves </w:t>
      </w:r>
      <w:r w:rsidR="00810B1E">
        <w:rPr>
          <w:rFonts w:eastAsia="Times New Roman" w:cs="Arial"/>
          <w:kern w:val="0"/>
          <w:szCs w:val="22"/>
          <w14:ligatures w14:val="none"/>
        </w:rPr>
        <w:t xml:space="preserve">as </w:t>
      </w:r>
      <w:r w:rsidR="00F20780">
        <w:rPr>
          <w:rFonts w:eastAsia="Times New Roman" w:cs="Arial"/>
          <w:kern w:val="0"/>
          <w:szCs w:val="22"/>
          <w14:ligatures w14:val="none"/>
        </w:rPr>
        <w:t xml:space="preserve">a </w:t>
      </w:r>
      <w:r w:rsidR="001B13EF">
        <w:rPr>
          <w:rFonts w:eastAsia="Times New Roman" w:cs="Arial"/>
          <w:kern w:val="0"/>
          <w:szCs w:val="22"/>
          <w14:ligatures w14:val="none"/>
        </w:rPr>
        <w:t xml:space="preserve">regulator of a </w:t>
      </w:r>
      <w:r w:rsidR="00F20780">
        <w:rPr>
          <w:rFonts w:eastAsia="Times New Roman" w:cs="Arial"/>
          <w:kern w:val="0"/>
          <w:szCs w:val="22"/>
          <w14:ligatures w14:val="none"/>
        </w:rPr>
        <w:t xml:space="preserve">vast transcriptional network </w:t>
      </w:r>
      <w:r w:rsidR="008069EF">
        <w:rPr>
          <w:rFonts w:eastAsia="Times New Roman" w:cs="Arial"/>
          <w:kern w:val="0"/>
          <w:szCs w:val="22"/>
          <w14:ligatures w14:val="none"/>
        </w:rPr>
        <w:t>that functions to</w:t>
      </w:r>
      <w:r w:rsidR="00F20780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DF1F0C">
        <w:rPr>
          <w:rFonts w:eastAsia="Times New Roman" w:cs="Arial"/>
          <w:kern w:val="0"/>
          <w:szCs w:val="22"/>
          <w14:ligatures w14:val="none"/>
        </w:rPr>
        <w:t>promot</w:t>
      </w:r>
      <w:r w:rsidR="008069EF">
        <w:rPr>
          <w:rFonts w:eastAsia="Times New Roman" w:cs="Arial"/>
          <w:kern w:val="0"/>
          <w:szCs w:val="22"/>
          <w14:ligatures w14:val="none"/>
        </w:rPr>
        <w:t>e</w:t>
      </w:r>
      <w:r w:rsidR="00DF1F0C">
        <w:rPr>
          <w:rFonts w:eastAsia="Times New Roman" w:cs="Arial"/>
          <w:kern w:val="0"/>
          <w:szCs w:val="22"/>
          <w14:ligatures w14:val="none"/>
        </w:rPr>
        <w:t xml:space="preserve"> </w:t>
      </w:r>
      <w:r w:rsidR="00432BD2">
        <w:rPr>
          <w:rFonts w:eastAsia="Times New Roman" w:cs="Arial"/>
          <w:kern w:val="0"/>
          <w:szCs w:val="22"/>
          <w14:ligatures w14:val="none"/>
        </w:rPr>
        <w:t>anti-tumor immun</w:t>
      </w:r>
      <w:r w:rsidR="00B73CE6">
        <w:rPr>
          <w:rFonts w:eastAsia="Times New Roman" w:cs="Arial"/>
          <w:kern w:val="0"/>
          <w:szCs w:val="22"/>
          <w14:ligatures w14:val="none"/>
        </w:rPr>
        <w:t>ity and ICI response</w:t>
      </w:r>
      <w:r w:rsidR="008069EF">
        <w:rPr>
          <w:rFonts w:eastAsia="Times New Roman" w:cs="Arial"/>
          <w:kern w:val="0"/>
          <w:szCs w:val="22"/>
          <w14:ligatures w14:val="none"/>
        </w:rPr>
        <w:t xml:space="preserve"> in lung cancer</w:t>
      </w:r>
      <w:r w:rsidR="00432BD2">
        <w:rPr>
          <w:rFonts w:eastAsia="Times New Roman" w:cs="Arial"/>
          <w:kern w:val="0"/>
          <w:szCs w:val="22"/>
          <w14:ligatures w14:val="none"/>
        </w:rPr>
        <w:t xml:space="preserve">. </w:t>
      </w:r>
    </w:p>
    <w:sectPr w:rsidR="00094A93" w:rsidSect="00686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25"/>
    <w:rsid w:val="00044073"/>
    <w:rsid w:val="000823A3"/>
    <w:rsid w:val="0008260A"/>
    <w:rsid w:val="00094A93"/>
    <w:rsid w:val="000A5014"/>
    <w:rsid w:val="00115F5A"/>
    <w:rsid w:val="001345FA"/>
    <w:rsid w:val="00190625"/>
    <w:rsid w:val="001B13EF"/>
    <w:rsid w:val="00384FA7"/>
    <w:rsid w:val="003901E4"/>
    <w:rsid w:val="003D216F"/>
    <w:rsid w:val="003F4120"/>
    <w:rsid w:val="0040166B"/>
    <w:rsid w:val="00401C24"/>
    <w:rsid w:val="00431683"/>
    <w:rsid w:val="00432BD2"/>
    <w:rsid w:val="00492736"/>
    <w:rsid w:val="004E4611"/>
    <w:rsid w:val="005C0583"/>
    <w:rsid w:val="00681EE9"/>
    <w:rsid w:val="00686875"/>
    <w:rsid w:val="006B64C7"/>
    <w:rsid w:val="008069EF"/>
    <w:rsid w:val="00810B1E"/>
    <w:rsid w:val="00883E48"/>
    <w:rsid w:val="00902123"/>
    <w:rsid w:val="009968A7"/>
    <w:rsid w:val="00A160A2"/>
    <w:rsid w:val="00A56A1C"/>
    <w:rsid w:val="00AD77AB"/>
    <w:rsid w:val="00B42713"/>
    <w:rsid w:val="00B73CE6"/>
    <w:rsid w:val="00BB78A2"/>
    <w:rsid w:val="00C07CE6"/>
    <w:rsid w:val="00C50FB1"/>
    <w:rsid w:val="00CF7AD9"/>
    <w:rsid w:val="00D76F12"/>
    <w:rsid w:val="00D77CA7"/>
    <w:rsid w:val="00DF1F0C"/>
    <w:rsid w:val="00E03956"/>
    <w:rsid w:val="00EA1EF3"/>
    <w:rsid w:val="00ED2D74"/>
    <w:rsid w:val="00EE74E3"/>
    <w:rsid w:val="00F20780"/>
    <w:rsid w:val="00F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2410"/>
  <w15:chartTrackingRefBased/>
  <w15:docId w15:val="{64CD3256-FBA5-4788-9794-7CC94581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kern w:val="2"/>
        <w:sz w:val="22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Konen, Jessica</dc:creator>
  <cp:keywords/>
  <dc:description/>
  <cp:lastModifiedBy>Konen, Jessica</cp:lastModifiedBy>
  <cp:revision>39</cp:revision>
  <dcterms:created xsi:type="dcterms:W3CDTF">2024-03-07T16:49:00Z</dcterms:created>
  <dcterms:modified xsi:type="dcterms:W3CDTF">2024-03-11T20:09:00Z</dcterms:modified>
</cp:coreProperties>
</file>