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ED" w:rsidRPr="00F13CED" w:rsidRDefault="00F13CED">
      <w:pPr>
        <w:rPr>
          <w:rFonts w:cstheme="minorHAnsi"/>
        </w:rPr>
      </w:pPr>
      <w:r w:rsidRPr="00F13CED">
        <w:rPr>
          <w:rFonts w:cstheme="minorHAnsi"/>
        </w:rPr>
        <w:t>Background: The uncommon</w:t>
      </w:r>
      <w:r w:rsidRPr="00FD6EBC">
        <w:rPr>
          <w:rFonts w:cstheme="minorHAnsi"/>
          <w:i/>
        </w:rPr>
        <w:t xml:space="preserve"> EGFR </w:t>
      </w:r>
      <w:r w:rsidRPr="00F13CED">
        <w:rPr>
          <w:rFonts w:cstheme="minorHAnsi"/>
        </w:rPr>
        <w:t>exon 19 dele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on (del19) L747_A750delinsP is less sensi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ve to inhibi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on by 1st and 3rd genera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on EGFR tyrosine kinase inhibitors (TKI) than the common del19 E746_A750del owing to a higher ATP binding affinity associated with L747_A750delinsP. Accordingly, EGFR L747_A750delinsP is associated with worse outcomes with erlo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and osimer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treatment compared to E746_A750del. In preclinical studies, L747_A750delinsP and the common del19 E746_A750del do not differ in sensi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vity to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nib, a 2nd genera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on TKI, which may be more effec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ve for targe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 xml:space="preserve">ng L747_A750delinsP. </w:t>
      </w:r>
    </w:p>
    <w:p w:rsidR="00F13CED" w:rsidRPr="00F13CED" w:rsidRDefault="00F13CED">
      <w:pPr>
        <w:rPr>
          <w:rFonts w:cstheme="minorHAnsi"/>
        </w:rPr>
      </w:pPr>
      <w:r w:rsidRPr="00F13CED">
        <w:rPr>
          <w:rFonts w:cstheme="minorHAnsi"/>
        </w:rPr>
        <w:t>Methods: To evaluate outcomes in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 xml:space="preserve">ents with advanced NSCLC harboring </w:t>
      </w:r>
      <w:proofErr w:type="gramStart"/>
      <w:r w:rsidRPr="00F13CED">
        <w:rPr>
          <w:rFonts w:cstheme="minorHAnsi"/>
        </w:rPr>
        <w:t>a</w:t>
      </w:r>
      <w:proofErr w:type="gramEnd"/>
      <w:r w:rsidRPr="00F13CED">
        <w:rPr>
          <w:rFonts w:cstheme="minorHAnsi"/>
        </w:rPr>
        <w:t xml:space="preserve"> L747_A750delinsP muta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on treated with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nib, we analyzed data pooled from 4 clinical trials (LUX-Lung 2, LUX-Lung 3, LUX-LUNG 7, SWOG S1403) of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for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 xml:space="preserve">ents with </w:t>
      </w:r>
      <w:r w:rsidRPr="00FD6EBC">
        <w:rPr>
          <w:rFonts w:cstheme="minorHAnsi"/>
          <w:i/>
        </w:rPr>
        <w:t>EGFR</w:t>
      </w:r>
      <w:r w:rsidRPr="00F13CED">
        <w:rPr>
          <w:rFonts w:cstheme="minorHAnsi"/>
        </w:rPr>
        <w:t xml:space="preserve"> mutant (</w:t>
      </w:r>
      <w:r w:rsidRPr="00FD6EBC">
        <w:rPr>
          <w:rFonts w:cstheme="minorHAnsi"/>
          <w:i/>
        </w:rPr>
        <w:t>EGFR</w:t>
      </w:r>
      <w:r w:rsidRPr="00F13CED">
        <w:rPr>
          <w:rFonts w:cstheme="minorHAnsi"/>
        </w:rPr>
        <w:t>+) non-small cell lung cancer (NSCLC). We inves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gated objec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ve response rate (ORR), progression free survival (PFS), and overall survival (OS) for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ents with tumors with E746_A750del vs. L747_A750delinsP. Median PFS and OS were es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 xml:space="preserve">mated using Kaplan-Meier method. </w:t>
      </w:r>
    </w:p>
    <w:p w:rsidR="00F13CED" w:rsidRPr="00F13CED" w:rsidRDefault="00F13CED">
      <w:pPr>
        <w:rPr>
          <w:rFonts w:cstheme="minorHAnsi"/>
        </w:rPr>
      </w:pPr>
      <w:r w:rsidRPr="00F13CED">
        <w:rPr>
          <w:rFonts w:cstheme="minorHAnsi"/>
        </w:rPr>
        <w:t>Results: Eighty-seven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 xml:space="preserve">ents with advanced </w:t>
      </w:r>
      <w:r w:rsidRPr="00FD6EBC">
        <w:rPr>
          <w:rFonts w:cstheme="minorHAnsi"/>
          <w:i/>
        </w:rPr>
        <w:t>EGFR</w:t>
      </w:r>
      <w:r w:rsidRPr="00F13CED">
        <w:rPr>
          <w:rFonts w:cstheme="minorHAnsi"/>
        </w:rPr>
        <w:t>+ NSCLC treated with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monotherapy were evaluated, 78 harboring E746_A750del and 9 with L747_A750delinsP. Sex, race, and ECOG performance status were similar, but L747_A750delinsP was associated with older age (median 60 vs. 69 years). ORR to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was 76% for E746_A750del vs. 87.5% for L747_A750delinsP (ORR Odds Ra</w:t>
      </w:r>
      <w:r w:rsidRPr="00F13CED">
        <w:rPr>
          <w:rFonts w:cstheme="minorHAnsi"/>
        </w:rPr>
        <w:t>tio 0.85 [80</w:t>
      </w:r>
      <w:r w:rsidRPr="00F13CED">
        <w:rPr>
          <w:rFonts w:cstheme="minorHAnsi"/>
        </w:rPr>
        <w:t>% CI, 0.18-2.97]). Median PFS was 10.1 months for E746_A750del vs. 10.1 months for L747_A750delinsP (Figure 1) with PFS Hazard Ra</w:t>
      </w:r>
      <w:r w:rsidRPr="00F13CED">
        <w:rPr>
          <w:rFonts w:cstheme="minorHAnsi"/>
        </w:rPr>
        <w:t>ti</w:t>
      </w:r>
      <w:r w:rsidR="00FD6EBC">
        <w:rPr>
          <w:rFonts w:cstheme="minorHAnsi"/>
        </w:rPr>
        <w:t>o (HR) 1.68 [80</w:t>
      </w:r>
      <w:r w:rsidRPr="00F13CED">
        <w:rPr>
          <w:rFonts w:cstheme="minorHAnsi"/>
        </w:rPr>
        <w:t xml:space="preserve">% CI, 0.90-3.11], and median OS was 25.3 months for E746_A750del vs. 29.0 months for L747_A750delinsP (Figure 2) with OS HR 1.79 [0.97-3.28]. </w:t>
      </w:r>
    </w:p>
    <w:p w:rsidR="000C688E" w:rsidRDefault="00F13CED">
      <w:pPr>
        <w:rPr>
          <w:rFonts w:cstheme="minorHAnsi"/>
        </w:rPr>
      </w:pPr>
      <w:r w:rsidRPr="00F13CED">
        <w:rPr>
          <w:rFonts w:cstheme="minorHAnsi"/>
        </w:rPr>
        <w:t>Conclusion: These data support a poten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al role for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as the preferred TKI for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ents with EGFR+ NSCLC harboring L747_A750delinsP, corrobora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ng prior preclinical and clinical findings. Prospec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ve data comparing afa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to osimer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nib for pa</w:t>
      </w:r>
      <w:r w:rsidRPr="00F13CED">
        <w:rPr>
          <w:rFonts w:cstheme="minorHAnsi"/>
        </w:rPr>
        <w:t>ti</w:t>
      </w:r>
      <w:r w:rsidRPr="00F13CED">
        <w:rPr>
          <w:rFonts w:cstheme="minorHAnsi"/>
        </w:rPr>
        <w:t>ents with tumors harboring EGFR L747_A750delinsP is needed</w:t>
      </w:r>
      <w:r w:rsidR="00FD6EBC">
        <w:rPr>
          <w:rFonts w:cstheme="minorHAnsi"/>
        </w:rPr>
        <w:t>.</w:t>
      </w:r>
    </w:p>
    <w:p w:rsidR="000B162F" w:rsidRPr="00F13CED" w:rsidRDefault="000B162F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5A20309" wp14:editId="79EBD3DD">
            <wp:extent cx="4257675" cy="699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62F" w:rsidRPr="00F1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D"/>
    <w:rsid w:val="000B162F"/>
    <w:rsid w:val="000C688E"/>
    <w:rsid w:val="00F13CED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66B1"/>
  <w15:chartTrackingRefBased/>
  <w15:docId w15:val="{F9DC0C81-B580-4227-8D27-38393B9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Michael</dc:creator>
  <cp:keywords/>
  <dc:description/>
  <cp:lastModifiedBy>Grant, Michael</cp:lastModifiedBy>
  <cp:revision>3</cp:revision>
  <dcterms:created xsi:type="dcterms:W3CDTF">2024-03-11T18:45:00Z</dcterms:created>
  <dcterms:modified xsi:type="dcterms:W3CDTF">2024-03-11T18:55:00Z</dcterms:modified>
</cp:coreProperties>
</file>