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4A57" w14:textId="0EC29607" w:rsidR="00097DDB" w:rsidRPr="00D23D1C" w:rsidRDefault="00097DDB" w:rsidP="00097DDB">
      <w:pPr>
        <w:rPr>
          <w:rFonts w:ascii="Arial" w:hAnsi="Arial" w:cs="Arial"/>
        </w:rPr>
      </w:pPr>
      <w:r>
        <w:rPr>
          <w:rFonts w:ascii="Arial" w:hAnsi="Arial" w:cs="Arial"/>
        </w:rPr>
        <w:t xml:space="preserve">Deep Mutational Scanning of EGFR Reveals Potential Domain-Specific TKI Sensitivities in Lung Cancer </w:t>
      </w:r>
    </w:p>
    <w:p w14:paraId="00B5D4E2" w14:textId="77777777" w:rsidR="00097DDB" w:rsidRDefault="00097DDB" w:rsidP="00D158E5">
      <w:pPr>
        <w:jc w:val="both"/>
        <w:rPr>
          <w:rFonts w:ascii="Arial" w:hAnsi="Arial" w:cs="Arial"/>
        </w:rPr>
      </w:pPr>
    </w:p>
    <w:p w14:paraId="2E10202C" w14:textId="5EE47FBB" w:rsidR="00097DDB" w:rsidRDefault="00097DDB" w:rsidP="00D158E5">
      <w:pPr>
        <w:jc w:val="both"/>
        <w:rPr>
          <w:rFonts w:ascii="Arial" w:hAnsi="Arial" w:cs="Arial"/>
        </w:rPr>
      </w:pPr>
      <w:r>
        <w:rPr>
          <w:rFonts w:ascii="Arial" w:hAnsi="Arial" w:cs="Arial"/>
        </w:rPr>
        <w:t>Tikvah K. Hayes</w:t>
      </w:r>
      <w:r>
        <w:rPr>
          <w:rFonts w:ascii="Arial" w:hAnsi="Arial" w:cs="Arial"/>
          <w:vertAlign w:val="superscript"/>
        </w:rPr>
        <w:t>1,2</w:t>
      </w:r>
      <w:r>
        <w:rPr>
          <w:rFonts w:ascii="Arial" w:hAnsi="Arial" w:cs="Arial"/>
        </w:rPr>
        <w:t>, Elisa Aquilanti</w:t>
      </w:r>
      <w:r>
        <w:rPr>
          <w:rFonts w:ascii="Arial" w:hAnsi="Arial" w:cs="Arial"/>
          <w:vertAlign w:val="superscript"/>
        </w:rPr>
        <w:t>1,2</w:t>
      </w:r>
      <w:r>
        <w:rPr>
          <w:rFonts w:ascii="Arial" w:hAnsi="Arial" w:cs="Arial"/>
        </w:rPr>
        <w:t>, Nicole S. Persky</w:t>
      </w:r>
      <w:r>
        <w:rPr>
          <w:rFonts w:ascii="Arial" w:hAnsi="Arial" w:cs="Arial"/>
          <w:vertAlign w:val="superscript"/>
        </w:rPr>
        <w:t>2</w:t>
      </w:r>
      <w:r>
        <w:rPr>
          <w:rFonts w:ascii="Arial" w:hAnsi="Arial" w:cs="Arial"/>
        </w:rPr>
        <w:t xml:space="preserve">, Erica E. </w:t>
      </w:r>
      <w:r w:rsidRPr="00745368">
        <w:rPr>
          <w:rFonts w:ascii="Arial" w:hAnsi="Arial" w:cs="Arial"/>
        </w:rPr>
        <w:t>Kim</w:t>
      </w:r>
      <w:r w:rsidRPr="00745368">
        <w:rPr>
          <w:rFonts w:ascii="Arial" w:hAnsi="Arial" w:cs="Arial"/>
          <w:vertAlign w:val="superscript"/>
        </w:rPr>
        <w:t>1</w:t>
      </w:r>
      <w:r>
        <w:rPr>
          <w:rFonts w:ascii="Arial" w:hAnsi="Arial" w:cs="Arial"/>
        </w:rPr>
        <w:t>, Lisa Brenan</w:t>
      </w:r>
      <w:r>
        <w:rPr>
          <w:rFonts w:ascii="Arial" w:hAnsi="Arial" w:cs="Arial"/>
          <w:vertAlign w:val="superscript"/>
        </w:rPr>
        <w:t>2</w:t>
      </w:r>
      <w:r>
        <w:rPr>
          <w:rFonts w:ascii="Arial" w:hAnsi="Arial" w:cs="Arial"/>
        </w:rPr>
        <w:t>, Amy B. Goodale</w:t>
      </w:r>
      <w:r>
        <w:rPr>
          <w:rFonts w:ascii="Arial" w:hAnsi="Arial" w:cs="Arial"/>
          <w:vertAlign w:val="superscript"/>
        </w:rPr>
        <w:t>3</w:t>
      </w:r>
      <w:r>
        <w:rPr>
          <w:rFonts w:ascii="Arial" w:hAnsi="Arial" w:cs="Arial"/>
        </w:rPr>
        <w:t>, Douglas Alan</w:t>
      </w:r>
      <w:r>
        <w:rPr>
          <w:rFonts w:ascii="Arial" w:hAnsi="Arial" w:cs="Arial"/>
          <w:vertAlign w:val="superscript"/>
        </w:rPr>
        <w:t>3</w:t>
      </w:r>
      <w:r>
        <w:rPr>
          <w:rFonts w:ascii="Arial" w:hAnsi="Arial" w:cs="Arial"/>
        </w:rPr>
        <w:t>, Ted Sharpe</w:t>
      </w:r>
      <w:r>
        <w:rPr>
          <w:rFonts w:ascii="Arial" w:hAnsi="Arial" w:cs="Arial"/>
          <w:vertAlign w:val="superscript"/>
        </w:rPr>
        <w:t>4</w:t>
      </w:r>
      <w:r>
        <w:rPr>
          <w:rFonts w:ascii="Arial" w:hAnsi="Arial" w:cs="Arial"/>
        </w:rPr>
        <w:t>, Robert E. Shue</w:t>
      </w:r>
      <w:r>
        <w:rPr>
          <w:rFonts w:ascii="Arial" w:hAnsi="Arial" w:cs="Arial"/>
          <w:vertAlign w:val="superscript"/>
        </w:rPr>
        <w:t>1,2</w:t>
      </w:r>
      <w:r>
        <w:rPr>
          <w:rFonts w:ascii="Arial" w:hAnsi="Arial" w:cs="Arial"/>
        </w:rPr>
        <w:t>, Lindsay Westlake</w:t>
      </w:r>
      <w:r>
        <w:rPr>
          <w:rFonts w:ascii="Arial" w:hAnsi="Arial" w:cs="Arial"/>
          <w:vertAlign w:val="superscript"/>
        </w:rPr>
        <w:t>2</w:t>
      </w:r>
      <w:r>
        <w:rPr>
          <w:rFonts w:ascii="Arial" w:hAnsi="Arial" w:cs="Arial"/>
        </w:rPr>
        <w:t xml:space="preserve">, </w:t>
      </w:r>
      <w:proofErr w:type="spellStart"/>
      <w:r>
        <w:rPr>
          <w:rFonts w:ascii="Arial" w:hAnsi="Arial" w:cs="Arial"/>
        </w:rPr>
        <w:t>Lior</w:t>
      </w:r>
      <w:proofErr w:type="spellEnd"/>
      <w:r>
        <w:rPr>
          <w:rFonts w:ascii="Arial" w:hAnsi="Arial" w:cs="Arial"/>
        </w:rPr>
        <w:t xml:space="preserve"> Golomb</w:t>
      </w:r>
      <w:r>
        <w:rPr>
          <w:rFonts w:ascii="Arial" w:hAnsi="Arial" w:cs="Arial"/>
          <w:vertAlign w:val="superscript"/>
        </w:rPr>
        <w:t>1,2</w:t>
      </w:r>
      <w:r>
        <w:rPr>
          <w:rFonts w:ascii="Arial" w:hAnsi="Arial" w:cs="Arial"/>
        </w:rPr>
        <w:t>, Brianna R. Silverman</w:t>
      </w:r>
      <w:r>
        <w:rPr>
          <w:rFonts w:ascii="Arial" w:hAnsi="Arial" w:cs="Arial"/>
          <w:vertAlign w:val="superscript"/>
        </w:rPr>
        <w:t>1</w:t>
      </w:r>
      <w:r>
        <w:rPr>
          <w:rFonts w:ascii="Arial" w:hAnsi="Arial" w:cs="Arial"/>
        </w:rPr>
        <w:t xml:space="preserve">, </w:t>
      </w:r>
      <w:proofErr w:type="spellStart"/>
      <w:r>
        <w:rPr>
          <w:rFonts w:ascii="Arial" w:hAnsi="Arial" w:cs="Arial"/>
        </w:rPr>
        <w:t>Myshal</w:t>
      </w:r>
      <w:proofErr w:type="spellEnd"/>
      <w:r>
        <w:rPr>
          <w:rFonts w:ascii="Arial" w:hAnsi="Arial" w:cs="Arial"/>
        </w:rPr>
        <w:t xml:space="preserve"> D. Morris</w:t>
      </w:r>
      <w:r>
        <w:rPr>
          <w:rFonts w:ascii="Arial" w:hAnsi="Arial" w:cs="Arial"/>
          <w:vertAlign w:val="superscript"/>
        </w:rPr>
        <w:t>5</w:t>
      </w:r>
      <w:r>
        <w:rPr>
          <w:rFonts w:ascii="Arial" w:hAnsi="Arial" w:cs="Arial"/>
        </w:rPr>
        <w:t>, Ty Running Fisher</w:t>
      </w:r>
      <w:r>
        <w:rPr>
          <w:rFonts w:ascii="Arial" w:hAnsi="Arial" w:cs="Arial"/>
          <w:vertAlign w:val="superscript"/>
        </w:rPr>
        <w:t>5</w:t>
      </w:r>
      <w:r>
        <w:rPr>
          <w:rFonts w:ascii="Arial" w:hAnsi="Arial" w:cs="Arial"/>
        </w:rPr>
        <w:t>, Eden Beyene</w:t>
      </w:r>
      <w:r>
        <w:rPr>
          <w:rFonts w:ascii="Arial" w:hAnsi="Arial" w:cs="Arial"/>
          <w:vertAlign w:val="superscript"/>
        </w:rPr>
        <w:t>5</w:t>
      </w:r>
      <w:r>
        <w:rPr>
          <w:rFonts w:ascii="Arial" w:hAnsi="Arial" w:cs="Arial"/>
        </w:rPr>
        <w:t>, Yvonne Y. Li</w:t>
      </w:r>
      <w:r>
        <w:rPr>
          <w:rFonts w:ascii="Arial" w:hAnsi="Arial" w:cs="Arial"/>
          <w:vertAlign w:val="superscript"/>
        </w:rPr>
        <w:t>1,2</w:t>
      </w:r>
      <w:r>
        <w:rPr>
          <w:rFonts w:ascii="Arial" w:hAnsi="Arial" w:cs="Arial"/>
        </w:rPr>
        <w:t>, Andrew D. Cherniack</w:t>
      </w:r>
      <w:r>
        <w:rPr>
          <w:rFonts w:ascii="Arial" w:hAnsi="Arial" w:cs="Arial"/>
          <w:vertAlign w:val="superscript"/>
        </w:rPr>
        <w:t>1,2</w:t>
      </w:r>
      <w:r>
        <w:rPr>
          <w:rFonts w:ascii="Arial" w:hAnsi="Arial" w:cs="Arial"/>
        </w:rPr>
        <w:t xml:space="preserve">, </w:t>
      </w:r>
      <w:r w:rsidRPr="002756CD">
        <w:rPr>
          <w:rFonts w:ascii="Arial" w:hAnsi="Arial" w:cs="Arial"/>
        </w:rPr>
        <w:t>Federica Piccioni</w:t>
      </w:r>
      <w:r>
        <w:rPr>
          <w:rFonts w:ascii="Arial" w:hAnsi="Arial" w:cs="Arial"/>
          <w:vertAlign w:val="superscript"/>
        </w:rPr>
        <w:t>3,9</w:t>
      </w:r>
      <w:r>
        <w:rPr>
          <w:rFonts w:ascii="Arial" w:hAnsi="Arial" w:cs="Arial"/>
        </w:rPr>
        <w:t>,</w:t>
      </w:r>
      <w:r>
        <w:rPr>
          <w:rFonts w:ascii="Arial" w:hAnsi="Arial" w:cs="Arial"/>
          <w:vertAlign w:val="superscript"/>
        </w:rPr>
        <w:t xml:space="preserve"> </w:t>
      </w:r>
      <w:r>
        <w:rPr>
          <w:rFonts w:ascii="Arial" w:hAnsi="Arial" w:cs="Arial"/>
        </w:rPr>
        <w:t>Xiaoping Yang</w:t>
      </w:r>
      <w:r>
        <w:rPr>
          <w:rFonts w:ascii="Arial" w:hAnsi="Arial" w:cs="Arial"/>
          <w:vertAlign w:val="superscript"/>
        </w:rPr>
        <w:t>3</w:t>
      </w:r>
      <w:r>
        <w:rPr>
          <w:rFonts w:ascii="Arial" w:hAnsi="Arial" w:cs="Arial"/>
        </w:rPr>
        <w:t>, David E. Root</w:t>
      </w:r>
      <w:r>
        <w:rPr>
          <w:rFonts w:ascii="Arial" w:hAnsi="Arial" w:cs="Arial"/>
          <w:vertAlign w:val="superscript"/>
        </w:rPr>
        <w:t>3</w:t>
      </w:r>
      <w:r>
        <w:rPr>
          <w:rFonts w:ascii="Arial" w:hAnsi="Arial" w:cs="Arial"/>
        </w:rPr>
        <w:t>, J. Kevin Hicks</w:t>
      </w:r>
      <w:r>
        <w:rPr>
          <w:rFonts w:ascii="Arial" w:hAnsi="Arial" w:cs="Arial"/>
          <w:vertAlign w:val="superscript"/>
        </w:rPr>
        <w:t>6</w:t>
      </w:r>
      <w:r>
        <w:rPr>
          <w:rFonts w:ascii="Arial" w:hAnsi="Arial" w:cs="Arial"/>
        </w:rPr>
        <w:t>, Andrew S. Chi</w:t>
      </w:r>
      <w:r>
        <w:rPr>
          <w:rFonts w:ascii="Arial" w:hAnsi="Arial" w:cs="Arial"/>
          <w:vertAlign w:val="superscript"/>
        </w:rPr>
        <w:t>7,10</w:t>
      </w:r>
      <w:r>
        <w:rPr>
          <w:rFonts w:ascii="Arial" w:hAnsi="Arial" w:cs="Arial"/>
        </w:rPr>
        <w:t>, Daniel P. Cahill</w:t>
      </w:r>
      <w:r>
        <w:rPr>
          <w:rFonts w:ascii="Arial" w:hAnsi="Arial" w:cs="Arial"/>
          <w:vertAlign w:val="superscript"/>
        </w:rPr>
        <w:t>7</w:t>
      </w:r>
      <w:r>
        <w:rPr>
          <w:rFonts w:ascii="Arial" w:hAnsi="Arial" w:cs="Arial"/>
        </w:rPr>
        <w:t xml:space="preserve">, </w:t>
      </w:r>
      <w:proofErr w:type="spellStart"/>
      <w:r>
        <w:rPr>
          <w:rFonts w:ascii="Arial" w:hAnsi="Arial" w:cs="Arial"/>
        </w:rPr>
        <w:t>Jorg</w:t>
      </w:r>
      <w:proofErr w:type="spellEnd"/>
      <w:r>
        <w:rPr>
          <w:rFonts w:ascii="Arial" w:hAnsi="Arial" w:cs="Arial"/>
        </w:rPr>
        <w:t xml:space="preserve"> Dietrich</w:t>
      </w:r>
      <w:r>
        <w:rPr>
          <w:rFonts w:ascii="Arial" w:hAnsi="Arial" w:cs="Arial"/>
          <w:vertAlign w:val="superscript"/>
        </w:rPr>
        <w:t>7</w:t>
      </w:r>
      <w:r>
        <w:rPr>
          <w:rFonts w:ascii="Arial" w:hAnsi="Arial" w:cs="Arial"/>
        </w:rPr>
        <w:t>, Tracy T. Batchelor</w:t>
      </w:r>
      <w:r>
        <w:rPr>
          <w:rFonts w:ascii="Arial" w:hAnsi="Arial" w:cs="Arial"/>
          <w:vertAlign w:val="superscript"/>
        </w:rPr>
        <w:t>8</w:t>
      </w:r>
      <w:r>
        <w:rPr>
          <w:rFonts w:ascii="Arial" w:hAnsi="Arial" w:cs="Arial"/>
        </w:rPr>
        <w:t>, Cory M. Johannessen</w:t>
      </w:r>
      <w:r>
        <w:rPr>
          <w:rFonts w:ascii="Arial" w:hAnsi="Arial" w:cs="Arial"/>
          <w:vertAlign w:val="superscript"/>
        </w:rPr>
        <w:t>2,11</w:t>
      </w:r>
      <w:r>
        <w:rPr>
          <w:rFonts w:ascii="Arial" w:hAnsi="Arial" w:cs="Arial"/>
        </w:rPr>
        <w:t>, and Matthew Meyerson</w:t>
      </w:r>
      <w:r>
        <w:rPr>
          <w:rFonts w:ascii="Arial" w:hAnsi="Arial" w:cs="Arial"/>
          <w:vertAlign w:val="superscript"/>
        </w:rPr>
        <w:t>1,2</w:t>
      </w:r>
    </w:p>
    <w:p w14:paraId="46AA790E" w14:textId="77777777" w:rsidR="00097DDB" w:rsidRDefault="00097DDB" w:rsidP="00D158E5">
      <w:pPr>
        <w:jc w:val="both"/>
        <w:rPr>
          <w:rFonts w:ascii="Arial" w:hAnsi="Arial" w:cs="Arial"/>
        </w:rPr>
      </w:pPr>
    </w:p>
    <w:p w14:paraId="4FB8D6D0" w14:textId="19B658BE" w:rsidR="00D158E5" w:rsidRPr="00016D64" w:rsidRDefault="00D158E5" w:rsidP="00D158E5">
      <w:pPr>
        <w:jc w:val="both"/>
        <w:rPr>
          <w:rFonts w:ascii="Arial" w:hAnsi="Arial" w:cs="Arial"/>
        </w:rPr>
      </w:pPr>
      <w:r>
        <w:rPr>
          <w:rFonts w:ascii="Arial" w:hAnsi="Arial" w:cs="Arial"/>
        </w:rPr>
        <w:t xml:space="preserve">The epidermal growth factor receptor, EGFR, is frequently activated in lung cancer by genomic alterations including missense mutations. The different mutation spectra in these diseases are reflected in divergent responses to EGFR inhibition: significant patient benefit in lung </w:t>
      </w:r>
      <w:proofErr w:type="gramStart"/>
      <w:r>
        <w:rPr>
          <w:rFonts w:ascii="Arial" w:hAnsi="Arial" w:cs="Arial"/>
        </w:rPr>
        <w:t>cancer, but</w:t>
      </w:r>
      <w:proofErr w:type="gramEnd"/>
      <w:r>
        <w:rPr>
          <w:rFonts w:ascii="Arial" w:hAnsi="Arial" w:cs="Arial"/>
        </w:rPr>
        <w:t xml:space="preserve"> limited in glioblastoma. Here, we report a comprehensive mutational analysis of EGFR function.  We performed saturation mutagenesis of EGFR and assessed function of ~22,500 variants in </w:t>
      </w:r>
      <w:r w:rsidRPr="00016D64">
        <w:rPr>
          <w:rFonts w:ascii="Arial" w:hAnsi="Arial" w:cs="Arial"/>
        </w:rPr>
        <w:t>a human EGFR-</w:t>
      </w:r>
      <w:r>
        <w:rPr>
          <w:rFonts w:ascii="Arial" w:hAnsi="Arial" w:cs="Arial"/>
        </w:rPr>
        <w:t>dependent</w:t>
      </w:r>
      <w:r w:rsidRPr="00016D64">
        <w:rPr>
          <w:rFonts w:ascii="Arial" w:hAnsi="Arial" w:cs="Arial"/>
        </w:rPr>
        <w:t xml:space="preserve"> lung cancer cell line</w:t>
      </w:r>
      <w:r>
        <w:rPr>
          <w:rFonts w:ascii="Arial" w:hAnsi="Arial" w:cs="Arial"/>
        </w:rPr>
        <w:t xml:space="preserve">. </w:t>
      </w:r>
      <w:r w:rsidRPr="00016D64">
        <w:rPr>
          <w:rFonts w:ascii="Arial" w:hAnsi="Arial" w:cs="Arial"/>
        </w:rPr>
        <w:t xml:space="preserve">This approach revealed enrichment of </w:t>
      </w:r>
      <w:r>
        <w:rPr>
          <w:rFonts w:ascii="Arial" w:hAnsi="Arial" w:cs="Arial"/>
        </w:rPr>
        <w:t xml:space="preserve">erlotinib-insensitive </w:t>
      </w:r>
      <w:r w:rsidRPr="00016D64">
        <w:rPr>
          <w:rFonts w:ascii="Arial" w:hAnsi="Arial" w:cs="Arial"/>
        </w:rPr>
        <w:t>variants of known and unknown</w:t>
      </w:r>
      <w:r>
        <w:rPr>
          <w:rFonts w:ascii="Arial" w:hAnsi="Arial" w:cs="Arial"/>
        </w:rPr>
        <w:t xml:space="preserve"> </w:t>
      </w:r>
      <w:r w:rsidRPr="00016D64">
        <w:rPr>
          <w:rFonts w:ascii="Arial" w:hAnsi="Arial" w:cs="Arial"/>
        </w:rPr>
        <w:t xml:space="preserve">significance in the dimerization, transmembrane, and kinase domains. </w:t>
      </w:r>
      <w:r>
        <w:rPr>
          <w:rFonts w:ascii="Arial" w:hAnsi="Arial" w:cs="Arial"/>
        </w:rPr>
        <w:t>Multiple EGFR extracellular domain variants, lacking approved targeted therapies, were sensitive to dacomitinib.</w:t>
      </w:r>
      <w:r w:rsidR="00703F69">
        <w:rPr>
          <w:rFonts w:ascii="Arial" w:hAnsi="Arial" w:cs="Arial"/>
        </w:rPr>
        <w:t xml:space="preserve"> </w:t>
      </w:r>
      <w:r>
        <w:rPr>
          <w:rFonts w:ascii="Arial" w:hAnsi="Arial" w:cs="Arial"/>
        </w:rPr>
        <w:t xml:space="preserve">In summary, this comprehensive screen reveals novel functional EGFR variants and suggests broader clinical investigation of EGFR inhibition for cancers harboring extracellular domain mutations. </w:t>
      </w:r>
    </w:p>
    <w:p w14:paraId="04E3DB26" w14:textId="77777777" w:rsidR="00CB7844" w:rsidRDefault="00CB7844"/>
    <w:sectPr w:rsidR="00CB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E5"/>
    <w:rsid w:val="00054296"/>
    <w:rsid w:val="0007775C"/>
    <w:rsid w:val="00097DDB"/>
    <w:rsid w:val="0013447D"/>
    <w:rsid w:val="0013504A"/>
    <w:rsid w:val="0018026F"/>
    <w:rsid w:val="00245407"/>
    <w:rsid w:val="00277091"/>
    <w:rsid w:val="002B397F"/>
    <w:rsid w:val="002E6883"/>
    <w:rsid w:val="00355AE8"/>
    <w:rsid w:val="003A1D76"/>
    <w:rsid w:val="003A28D0"/>
    <w:rsid w:val="003B1BE4"/>
    <w:rsid w:val="003B67E9"/>
    <w:rsid w:val="003D54B7"/>
    <w:rsid w:val="00434500"/>
    <w:rsid w:val="00442477"/>
    <w:rsid w:val="00450963"/>
    <w:rsid w:val="00454E64"/>
    <w:rsid w:val="00471B86"/>
    <w:rsid w:val="0050528C"/>
    <w:rsid w:val="0054404B"/>
    <w:rsid w:val="00554B53"/>
    <w:rsid w:val="005D4FEA"/>
    <w:rsid w:val="005E4834"/>
    <w:rsid w:val="005E6AC8"/>
    <w:rsid w:val="0065224E"/>
    <w:rsid w:val="006543FE"/>
    <w:rsid w:val="006553CF"/>
    <w:rsid w:val="00681DBE"/>
    <w:rsid w:val="006C2AAB"/>
    <w:rsid w:val="006C6DEB"/>
    <w:rsid w:val="00703F69"/>
    <w:rsid w:val="00705C2F"/>
    <w:rsid w:val="0075324E"/>
    <w:rsid w:val="00771336"/>
    <w:rsid w:val="007D2B98"/>
    <w:rsid w:val="00836D24"/>
    <w:rsid w:val="0087777B"/>
    <w:rsid w:val="00885B7B"/>
    <w:rsid w:val="008A174A"/>
    <w:rsid w:val="008B1D2E"/>
    <w:rsid w:val="008F30C8"/>
    <w:rsid w:val="00911AA2"/>
    <w:rsid w:val="00927D43"/>
    <w:rsid w:val="009305FD"/>
    <w:rsid w:val="00980555"/>
    <w:rsid w:val="009A66C3"/>
    <w:rsid w:val="009A76E8"/>
    <w:rsid w:val="00A21D9C"/>
    <w:rsid w:val="00A337B1"/>
    <w:rsid w:val="00A82CCD"/>
    <w:rsid w:val="00AC2DC1"/>
    <w:rsid w:val="00AD4CF9"/>
    <w:rsid w:val="00B41B4D"/>
    <w:rsid w:val="00B55C5D"/>
    <w:rsid w:val="00B616C7"/>
    <w:rsid w:val="00B67A6F"/>
    <w:rsid w:val="00B76AFE"/>
    <w:rsid w:val="00BC3B06"/>
    <w:rsid w:val="00BE6A37"/>
    <w:rsid w:val="00BF0114"/>
    <w:rsid w:val="00C02AA2"/>
    <w:rsid w:val="00CB7844"/>
    <w:rsid w:val="00D158E5"/>
    <w:rsid w:val="00D2018A"/>
    <w:rsid w:val="00D30AE5"/>
    <w:rsid w:val="00D64D15"/>
    <w:rsid w:val="00D85B5D"/>
    <w:rsid w:val="00DB1897"/>
    <w:rsid w:val="00E37906"/>
    <w:rsid w:val="00E46AB7"/>
    <w:rsid w:val="00E875DC"/>
    <w:rsid w:val="00EC460D"/>
    <w:rsid w:val="00EC6999"/>
    <w:rsid w:val="00EC7075"/>
    <w:rsid w:val="00ED44ED"/>
    <w:rsid w:val="00FB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1B947"/>
  <w15:chartTrackingRefBased/>
  <w15:docId w15:val="{16E534E9-32D3-814D-BF4F-A142F403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E5"/>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Tikvah K.</dc:creator>
  <cp:keywords/>
  <dc:description/>
  <cp:lastModifiedBy>Hayes, Tikvah K.</cp:lastModifiedBy>
  <cp:revision>3</cp:revision>
  <dcterms:created xsi:type="dcterms:W3CDTF">2024-03-11T18:38:00Z</dcterms:created>
  <dcterms:modified xsi:type="dcterms:W3CDTF">2024-03-11T18:38:00Z</dcterms:modified>
</cp:coreProperties>
</file>