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64BAC" w14:textId="5B3F5BEF" w:rsidR="00DA121E" w:rsidRPr="00DA121E" w:rsidRDefault="00DA121E" w:rsidP="00DA121E">
      <w:pPr>
        <w:pStyle w:val="ListParagraph"/>
        <w:numPr>
          <w:ilvl w:val="0"/>
          <w:numId w:val="2"/>
        </w:numPr>
        <w:spacing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A121E">
        <w:rPr>
          <w:rFonts w:cstheme="minorHAnsi"/>
          <w:b/>
          <w:color w:val="000000"/>
          <w:sz w:val="24"/>
          <w:szCs w:val="24"/>
        </w:rPr>
        <w:t xml:space="preserve">An immunomodulatory </w:t>
      </w:r>
      <w:proofErr w:type="spellStart"/>
      <w:r w:rsidRPr="00DA121E">
        <w:rPr>
          <w:rFonts w:cstheme="minorHAnsi"/>
          <w:b/>
          <w:color w:val="000000"/>
          <w:sz w:val="24"/>
          <w:szCs w:val="24"/>
        </w:rPr>
        <w:t>gallotanin</w:t>
      </w:r>
      <w:proofErr w:type="spellEnd"/>
      <w:r w:rsidRPr="00DA121E">
        <w:rPr>
          <w:rFonts w:cstheme="minorHAnsi"/>
          <w:b/>
          <w:color w:val="000000"/>
          <w:sz w:val="24"/>
          <w:szCs w:val="24"/>
        </w:rPr>
        <w:t xml:space="preserve">-rich fraction from </w:t>
      </w:r>
      <w:r w:rsidRPr="00DA121E">
        <w:rPr>
          <w:rFonts w:cstheme="minorHAnsi"/>
          <w:b/>
          <w:i/>
          <w:color w:val="000000"/>
          <w:sz w:val="24"/>
          <w:szCs w:val="24"/>
        </w:rPr>
        <w:t xml:space="preserve">Caesalpinia spinosa </w:t>
      </w:r>
      <w:r w:rsidRPr="00DA121E">
        <w:rPr>
          <w:rFonts w:cstheme="minorHAnsi"/>
          <w:b/>
          <w:color w:val="000000"/>
          <w:sz w:val="24"/>
          <w:szCs w:val="24"/>
        </w:rPr>
        <w:t>enhances the therapeutic effect of anti-PD-L1 in melanoma</w:t>
      </w:r>
    </w:p>
    <w:p w14:paraId="14C1E206" w14:textId="77777777" w:rsidR="00DA121E" w:rsidRPr="0082158F" w:rsidRDefault="00DA121E" w:rsidP="00DA121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2158F">
        <w:rPr>
          <w:rFonts w:eastAsia="Times New Roman" w:cstheme="minorHAnsi"/>
          <w:b/>
          <w:bCs/>
          <w:color w:val="000000"/>
          <w:sz w:val="24"/>
          <w:szCs w:val="24"/>
        </w:rPr>
        <w:t>Global Integrative Oncology: Use in Cancer Treatment &amp; Patient Management</w:t>
      </w:r>
    </w:p>
    <w:p w14:paraId="6D08C02B" w14:textId="77777777" w:rsidR="00DA121E" w:rsidRPr="0082158F" w:rsidRDefault="00DA121E" w:rsidP="00DA121E">
      <w:pPr>
        <w:pStyle w:val="ListParagraph"/>
        <w:spacing w:line="276" w:lineRule="auto"/>
        <w:jc w:val="both"/>
        <w:rPr>
          <w:rFonts w:cstheme="minorHAnsi"/>
          <w:b/>
          <w:color w:val="000000"/>
        </w:rPr>
      </w:pPr>
    </w:p>
    <w:p w14:paraId="27C0E5CD" w14:textId="77777777" w:rsidR="00DA121E" w:rsidRDefault="00DA121E" w:rsidP="00DA121E">
      <w:pPr>
        <w:jc w:val="both"/>
        <w:rPr>
          <w:rFonts w:cstheme="minorHAnsi"/>
          <w:sz w:val="24"/>
          <w:szCs w:val="24"/>
        </w:rPr>
      </w:pPr>
      <w:r w:rsidRPr="00DA121E">
        <w:rPr>
          <w:rFonts w:cstheme="minorHAnsi"/>
          <w:b/>
          <w:bCs/>
          <w:color w:val="000000"/>
          <w:sz w:val="24"/>
          <w:szCs w:val="24"/>
        </w:rPr>
        <w:t xml:space="preserve">Background: </w:t>
      </w:r>
      <w:r w:rsidRPr="00DA121E">
        <w:rPr>
          <w:rFonts w:cstheme="minorHAnsi"/>
          <w:color w:val="000000"/>
          <w:sz w:val="24"/>
          <w:szCs w:val="24"/>
        </w:rPr>
        <w:t xml:space="preserve">The PD-1/PD-L1 pathway plays a role in inhibiting immune response. </w:t>
      </w:r>
      <w:r w:rsidRPr="00DA121E">
        <w:rPr>
          <w:rFonts w:eastAsia="Times New Roman" w:cstheme="minorHAnsi"/>
          <w:color w:val="000000"/>
          <w:sz w:val="24"/>
          <w:szCs w:val="24"/>
        </w:rPr>
        <w:t xml:space="preserve">Therapeutic antibodies aimed at blocking the PD-1/PD-L1 interaction have entered clinical development and have been approved for a variety of cancers. However, the clinical benefits are only present in a restricted group of patients. Currently, the research in combined therapies, which allows for a greater response, are strongly encouraging. </w:t>
      </w:r>
      <w:r w:rsidRPr="00DA121E">
        <w:rPr>
          <w:rFonts w:eastAsia="Times New Roman" w:cstheme="minorHAnsi"/>
          <w:sz w:val="24"/>
          <w:szCs w:val="24"/>
        </w:rPr>
        <w:t xml:space="preserve">We previously characterized a polyphenol-rich extract from </w:t>
      </w:r>
      <w:r w:rsidRPr="00DA121E">
        <w:rPr>
          <w:rFonts w:eastAsia="Times New Roman" w:cstheme="minorHAnsi"/>
          <w:i/>
          <w:sz w:val="24"/>
          <w:szCs w:val="24"/>
        </w:rPr>
        <w:t>Caesalpinia spinosa</w:t>
      </w:r>
      <w:r w:rsidRPr="00DA121E">
        <w:rPr>
          <w:rFonts w:eastAsia="Times New Roman" w:cstheme="minorHAnsi"/>
          <w:sz w:val="24"/>
          <w:szCs w:val="24"/>
        </w:rPr>
        <w:t xml:space="preserve"> (P2Et) with anti-tumor activity in both melanoma and breast carcinoma, as well as immunomodulatory activity. </w:t>
      </w:r>
      <w:r w:rsidRPr="00DA121E">
        <w:rPr>
          <w:rFonts w:cstheme="minorHAnsi"/>
          <w:sz w:val="24"/>
          <w:szCs w:val="24"/>
        </w:rPr>
        <w:t xml:space="preserve">We hypothesize that the combined treatment with P2Et and anti-PD-L1 can improve the antitumor response through an additive antitumor effect. </w:t>
      </w:r>
    </w:p>
    <w:p w14:paraId="6A435B12" w14:textId="77777777" w:rsidR="00DA121E" w:rsidRDefault="00DA121E" w:rsidP="00DA121E">
      <w:pPr>
        <w:jc w:val="both"/>
        <w:rPr>
          <w:rFonts w:cstheme="minorHAnsi"/>
          <w:color w:val="000000"/>
          <w:sz w:val="24"/>
          <w:szCs w:val="24"/>
        </w:rPr>
      </w:pPr>
      <w:r w:rsidRPr="00DA121E">
        <w:rPr>
          <w:rFonts w:cstheme="minorHAnsi"/>
          <w:b/>
          <w:bCs/>
          <w:sz w:val="24"/>
          <w:szCs w:val="24"/>
        </w:rPr>
        <w:t>Aim:</w:t>
      </w:r>
      <w:r w:rsidRPr="00DA121E">
        <w:rPr>
          <w:rFonts w:cstheme="minorHAnsi"/>
          <w:sz w:val="24"/>
          <w:szCs w:val="24"/>
        </w:rPr>
        <w:t xml:space="preserve"> W</w:t>
      </w:r>
      <w:r w:rsidRPr="00DA121E">
        <w:rPr>
          <w:rFonts w:cstheme="minorHAnsi"/>
          <w:color w:val="000000"/>
          <w:sz w:val="24"/>
          <w:szCs w:val="24"/>
        </w:rPr>
        <w:t xml:space="preserve">e investigated the antitumor and immunomodulatory activity of P2Et and anti-PD-L1 combined therapy in B16-F10 melanoma and 4T1 breast carcinoma. </w:t>
      </w:r>
    </w:p>
    <w:p w14:paraId="50B3DAB5" w14:textId="77777777" w:rsidR="00DA121E" w:rsidRDefault="00DA121E" w:rsidP="00DA121E">
      <w:pPr>
        <w:jc w:val="both"/>
        <w:rPr>
          <w:rFonts w:cstheme="minorHAnsi"/>
          <w:color w:val="000000"/>
          <w:sz w:val="24"/>
          <w:szCs w:val="24"/>
        </w:rPr>
      </w:pPr>
      <w:r w:rsidRPr="00DA121E">
        <w:rPr>
          <w:rFonts w:cstheme="minorHAnsi"/>
          <w:b/>
          <w:bCs/>
          <w:color w:val="000000"/>
          <w:sz w:val="24"/>
          <w:szCs w:val="24"/>
        </w:rPr>
        <w:t>Methodology:</w:t>
      </w:r>
      <w:r w:rsidRPr="00DA121E">
        <w:rPr>
          <w:rFonts w:cstheme="minorHAnsi"/>
          <w:color w:val="000000"/>
          <w:sz w:val="24"/>
          <w:szCs w:val="24"/>
        </w:rPr>
        <w:t xml:space="preserve"> We analyzed tumor growth</w:t>
      </w:r>
      <w:r w:rsidRPr="00DA121E">
        <w:rPr>
          <w:rFonts w:cstheme="minorHAnsi"/>
          <w:i/>
          <w:color w:val="000000"/>
          <w:sz w:val="24"/>
          <w:szCs w:val="24"/>
        </w:rPr>
        <w:t>,</w:t>
      </w:r>
      <w:r w:rsidRPr="00DA121E">
        <w:rPr>
          <w:rFonts w:cstheme="minorHAnsi"/>
          <w:color w:val="000000"/>
          <w:sz w:val="24"/>
          <w:szCs w:val="24"/>
        </w:rPr>
        <w:t xml:space="preserve"> hematologic parameters, T cell counts, cytokine expression, and T cell cytotoxicity. </w:t>
      </w:r>
    </w:p>
    <w:p w14:paraId="31826681" w14:textId="77777777" w:rsidR="00DA121E" w:rsidRDefault="00DA121E" w:rsidP="00DA121E">
      <w:pPr>
        <w:jc w:val="both"/>
        <w:rPr>
          <w:rFonts w:cstheme="minorHAnsi"/>
          <w:sz w:val="24"/>
          <w:szCs w:val="24"/>
        </w:rPr>
      </w:pPr>
      <w:r w:rsidRPr="00DA121E">
        <w:rPr>
          <w:rFonts w:cstheme="minorHAnsi"/>
          <w:b/>
          <w:bCs/>
          <w:color w:val="000000"/>
          <w:sz w:val="24"/>
          <w:szCs w:val="24"/>
        </w:rPr>
        <w:t>Results:</w:t>
      </w:r>
      <w:r w:rsidRPr="00DA121E">
        <w:rPr>
          <w:rFonts w:cstheme="minorHAnsi"/>
          <w:color w:val="000000"/>
          <w:sz w:val="24"/>
          <w:szCs w:val="24"/>
        </w:rPr>
        <w:t xml:space="preserve"> </w:t>
      </w:r>
      <w:r w:rsidRPr="00DA121E">
        <w:rPr>
          <w:rFonts w:cstheme="minorHAnsi"/>
          <w:sz w:val="24"/>
          <w:szCs w:val="24"/>
        </w:rPr>
        <w:t>In the melanoma model, combined P2Et and anti-PD-L1 therapy has the following effects: decrease in tumor size; increase in the number of activated CD4</w:t>
      </w:r>
      <w:r w:rsidRPr="00DA121E">
        <w:rPr>
          <w:rFonts w:cstheme="minorHAnsi"/>
          <w:sz w:val="24"/>
          <w:szCs w:val="24"/>
          <w:vertAlign w:val="superscript"/>
        </w:rPr>
        <w:t>+</w:t>
      </w:r>
      <w:r w:rsidRPr="00DA121E">
        <w:rPr>
          <w:rFonts w:cstheme="minorHAnsi"/>
          <w:sz w:val="24"/>
          <w:szCs w:val="24"/>
        </w:rPr>
        <w:t xml:space="preserve"> and CD8</w:t>
      </w:r>
      <w:r w:rsidRPr="00DA121E">
        <w:rPr>
          <w:rFonts w:cstheme="minorHAnsi"/>
          <w:sz w:val="24"/>
          <w:szCs w:val="24"/>
          <w:vertAlign w:val="superscript"/>
        </w:rPr>
        <w:t>+</w:t>
      </w:r>
      <w:r w:rsidRPr="00DA121E">
        <w:rPr>
          <w:rFonts w:cstheme="minorHAnsi"/>
          <w:sz w:val="24"/>
          <w:szCs w:val="24"/>
        </w:rPr>
        <w:t xml:space="preserve"> T cells; decrease in the number of suppressor myeloid cells; increase in PD-L1 expression; decrease in the frequency of CD8</w:t>
      </w:r>
      <w:r w:rsidRPr="00DA121E">
        <w:rPr>
          <w:rFonts w:cstheme="minorHAnsi"/>
          <w:sz w:val="24"/>
          <w:szCs w:val="24"/>
          <w:vertAlign w:val="superscript"/>
        </w:rPr>
        <w:t>+</w:t>
      </w:r>
      <w:r w:rsidRPr="00DA121E">
        <w:rPr>
          <w:rFonts w:cstheme="minorHAnsi"/>
          <w:sz w:val="24"/>
          <w:szCs w:val="24"/>
        </w:rPr>
        <w:t xml:space="preserve"> T cell expressing PD-1; improvement in the cytotoxic activity of T cells; and increase in the </w:t>
      </w:r>
      <w:proofErr w:type="spellStart"/>
      <w:r w:rsidRPr="00DA121E">
        <w:rPr>
          <w:rFonts w:cstheme="minorHAnsi"/>
          <w:sz w:val="24"/>
          <w:szCs w:val="24"/>
        </w:rPr>
        <w:t>IFN</w:t>
      </w:r>
      <w:r w:rsidRPr="00DA121E">
        <w:rPr>
          <w:rFonts w:eastAsia="Noto Sans Symbols" w:cstheme="minorHAnsi"/>
          <w:sz w:val="24"/>
          <w:szCs w:val="24"/>
        </w:rPr>
        <w:t>γ</w:t>
      </w:r>
      <w:proofErr w:type="spellEnd"/>
      <w:r w:rsidRPr="00DA121E">
        <w:rPr>
          <w:rFonts w:cstheme="minorHAnsi"/>
          <w:sz w:val="24"/>
          <w:szCs w:val="24"/>
        </w:rPr>
        <w:t xml:space="preserve"> secretion. In the breast cancer model, P2Et and PD-L1 alone or in combination show antitumor effect with no clear additive effect. </w:t>
      </w:r>
    </w:p>
    <w:p w14:paraId="03C1101C" w14:textId="1EDA2321" w:rsidR="00DA121E" w:rsidRPr="00DA121E" w:rsidRDefault="00DA121E" w:rsidP="00DA121E">
      <w:pPr>
        <w:jc w:val="both"/>
        <w:rPr>
          <w:rFonts w:cstheme="minorHAnsi"/>
          <w:color w:val="000000"/>
          <w:sz w:val="24"/>
          <w:szCs w:val="24"/>
        </w:rPr>
      </w:pPr>
      <w:r w:rsidRPr="00DA121E">
        <w:rPr>
          <w:rFonts w:cstheme="minorHAnsi"/>
          <w:b/>
          <w:bCs/>
          <w:sz w:val="24"/>
          <w:szCs w:val="24"/>
        </w:rPr>
        <w:t>Conclusions:</w:t>
      </w:r>
      <w:r w:rsidRPr="00DA121E">
        <w:rPr>
          <w:rFonts w:cstheme="minorHAnsi"/>
          <w:sz w:val="24"/>
          <w:szCs w:val="24"/>
        </w:rPr>
        <w:t xml:space="preserve"> </w:t>
      </w:r>
      <w:r w:rsidRPr="00DA121E">
        <w:rPr>
          <w:rFonts w:cstheme="minorHAnsi"/>
          <w:color w:val="000000"/>
          <w:sz w:val="24"/>
          <w:szCs w:val="24"/>
        </w:rPr>
        <w:t>This study shows that combined therapy of P2Et and anti-PD-L1 can improve antitumor response in a melanoma model by activating the immune response and neutralizing immunosuppressive mechanisms.</w:t>
      </w:r>
    </w:p>
    <w:p w14:paraId="2093B799" w14:textId="77777777" w:rsidR="00DA121E" w:rsidRPr="0082158F" w:rsidRDefault="00DA121E" w:rsidP="00DA121E">
      <w:pPr>
        <w:spacing w:line="276" w:lineRule="auto"/>
        <w:jc w:val="both"/>
        <w:rPr>
          <w:rFonts w:cstheme="minorHAnsi"/>
          <w:bCs/>
          <w:i/>
          <w:iCs/>
          <w:color w:val="000000"/>
          <w:sz w:val="18"/>
          <w:szCs w:val="18"/>
          <w:lang w:val="es-CO"/>
        </w:rPr>
      </w:pP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Paola Lasso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1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, Alejandra Gomez-Cadena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1,</w:t>
      </w:r>
      <w:r w:rsidRPr="0082158F">
        <w:rPr>
          <w:rFonts w:eastAsia="Times New Roman"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2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, Claudia Urueña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1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, Alena Donda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3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, Amaia Martinez Usatorre</w:t>
      </w:r>
      <w:r w:rsidRPr="0082158F">
        <w:rPr>
          <w:rFonts w:eastAsia="Times New Roman"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4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, Pedro Romero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3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, Alfonso Barreto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1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,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 xml:space="preserve"> </w:t>
      </w:r>
      <w:r w:rsidRPr="0082158F">
        <w:rPr>
          <w:rFonts w:cstheme="minorHAnsi"/>
          <w:bCs/>
          <w:i/>
          <w:iCs/>
          <w:color w:val="000000"/>
          <w:sz w:val="18"/>
          <w:szCs w:val="18"/>
          <w:lang w:val="es-CO"/>
        </w:rPr>
        <w:t>Susana Fiorentino</w:t>
      </w:r>
      <w:r w:rsidRPr="0082158F">
        <w:rPr>
          <w:rFonts w:cstheme="minorHAnsi"/>
          <w:bCs/>
          <w:i/>
          <w:iCs/>
          <w:color w:val="000000"/>
          <w:sz w:val="18"/>
          <w:szCs w:val="18"/>
          <w:vertAlign w:val="superscript"/>
          <w:lang w:val="es-CO"/>
        </w:rPr>
        <w:t>1*</w:t>
      </w:r>
    </w:p>
    <w:p w14:paraId="5DF72F9D" w14:textId="77777777" w:rsidR="00DA121E" w:rsidRPr="0082158F" w:rsidRDefault="00DA121E" w:rsidP="00DA121E">
      <w:pPr>
        <w:spacing w:line="276" w:lineRule="auto"/>
        <w:jc w:val="both"/>
        <w:rPr>
          <w:rFonts w:cstheme="minorHAnsi"/>
          <w:b/>
          <w:i/>
          <w:iCs/>
          <w:sz w:val="18"/>
          <w:szCs w:val="18"/>
          <w:lang w:val="es-CO"/>
        </w:rPr>
      </w:pPr>
    </w:p>
    <w:p w14:paraId="6EEA7B5D" w14:textId="77777777" w:rsidR="00DA121E" w:rsidRPr="0082158F" w:rsidRDefault="00DA121E" w:rsidP="00DA121E">
      <w:pPr>
        <w:spacing w:line="276" w:lineRule="auto"/>
        <w:jc w:val="both"/>
        <w:rPr>
          <w:rFonts w:cstheme="minorHAnsi"/>
          <w:i/>
          <w:iCs/>
          <w:color w:val="000000"/>
          <w:sz w:val="18"/>
          <w:szCs w:val="18"/>
          <w:lang w:val="es-CO"/>
        </w:rPr>
      </w:pPr>
      <w:r w:rsidRPr="0082158F">
        <w:rPr>
          <w:rFonts w:cstheme="minorHAnsi"/>
          <w:i/>
          <w:iCs/>
          <w:color w:val="000000"/>
          <w:sz w:val="18"/>
          <w:szCs w:val="18"/>
          <w:vertAlign w:val="superscript"/>
          <w:lang w:val="es-CO"/>
        </w:rPr>
        <w:t>1</w:t>
      </w:r>
      <w:r w:rsidRPr="0082158F">
        <w:rPr>
          <w:rFonts w:cstheme="minorHAnsi"/>
          <w:i/>
          <w:iCs/>
          <w:color w:val="000000"/>
          <w:sz w:val="18"/>
          <w:szCs w:val="18"/>
          <w:lang w:val="es-CO"/>
        </w:rPr>
        <w:t xml:space="preserve"> </w:t>
      </w:r>
      <w:proofErr w:type="gramStart"/>
      <w:r w:rsidRPr="0082158F">
        <w:rPr>
          <w:rFonts w:cstheme="minorHAnsi"/>
          <w:i/>
          <w:iCs/>
          <w:color w:val="000000"/>
          <w:sz w:val="18"/>
          <w:szCs w:val="18"/>
          <w:lang w:val="es-CO"/>
        </w:rPr>
        <w:t>Grupo</w:t>
      </w:r>
      <w:proofErr w:type="gramEnd"/>
      <w:r w:rsidRPr="0082158F">
        <w:rPr>
          <w:rFonts w:cstheme="minorHAnsi"/>
          <w:i/>
          <w:iCs/>
          <w:color w:val="000000"/>
          <w:sz w:val="18"/>
          <w:szCs w:val="18"/>
          <w:lang w:val="es-CO"/>
        </w:rPr>
        <w:t xml:space="preserve"> de </w:t>
      </w:r>
      <w:proofErr w:type="spellStart"/>
      <w:r w:rsidRPr="0082158F">
        <w:rPr>
          <w:rFonts w:cstheme="minorHAnsi"/>
          <w:i/>
          <w:iCs/>
          <w:color w:val="000000"/>
          <w:sz w:val="18"/>
          <w:szCs w:val="18"/>
          <w:lang w:val="es-CO"/>
        </w:rPr>
        <w:t>Inmunobiología</w:t>
      </w:r>
      <w:proofErr w:type="spellEnd"/>
      <w:r w:rsidRPr="0082158F">
        <w:rPr>
          <w:rFonts w:cstheme="minorHAnsi"/>
          <w:i/>
          <w:iCs/>
          <w:color w:val="000000"/>
          <w:sz w:val="18"/>
          <w:szCs w:val="18"/>
          <w:lang w:val="es-CO"/>
        </w:rPr>
        <w:t xml:space="preserve"> y Biología Celular, Pontificia Universidad Javeriana, Bogotá, Colombia.</w:t>
      </w:r>
    </w:p>
    <w:p w14:paraId="348B9D1E" w14:textId="77777777" w:rsidR="00DA121E" w:rsidRPr="0082158F" w:rsidRDefault="00DA121E" w:rsidP="00DA121E">
      <w:pPr>
        <w:spacing w:line="276" w:lineRule="auto"/>
        <w:jc w:val="both"/>
        <w:rPr>
          <w:rFonts w:cstheme="minorHAnsi"/>
          <w:i/>
          <w:iCs/>
          <w:color w:val="000000"/>
          <w:sz w:val="18"/>
          <w:szCs w:val="18"/>
        </w:rPr>
      </w:pPr>
      <w:r w:rsidRPr="0082158F">
        <w:rPr>
          <w:rFonts w:eastAsia="Times New Roman" w:cstheme="minorHAnsi"/>
          <w:i/>
          <w:iCs/>
          <w:color w:val="000000"/>
          <w:sz w:val="18"/>
          <w:szCs w:val="18"/>
          <w:vertAlign w:val="superscript"/>
        </w:rPr>
        <w:t>2</w:t>
      </w:r>
      <w:r w:rsidRPr="0082158F">
        <w:rPr>
          <w:rFonts w:cstheme="minorHAnsi"/>
          <w:i/>
          <w:iCs/>
          <w:color w:val="000000"/>
          <w:sz w:val="18"/>
          <w:szCs w:val="18"/>
          <w:vertAlign w:val="superscript"/>
        </w:rPr>
        <w:t xml:space="preserve"> </w:t>
      </w:r>
      <w:r w:rsidRPr="0082158F">
        <w:rPr>
          <w:rFonts w:cstheme="minorHAnsi"/>
          <w:i/>
          <w:iCs/>
          <w:color w:val="000000"/>
          <w:sz w:val="18"/>
          <w:szCs w:val="18"/>
        </w:rPr>
        <w:t>University of Geneva, Department of Pathology and Immunology, Geneva, Switzerland.</w:t>
      </w:r>
    </w:p>
    <w:p w14:paraId="6B1744F6" w14:textId="77777777" w:rsidR="00DA121E" w:rsidRPr="0082158F" w:rsidRDefault="00DA121E" w:rsidP="00DA121E">
      <w:pPr>
        <w:spacing w:line="276" w:lineRule="auto"/>
        <w:jc w:val="both"/>
        <w:rPr>
          <w:rFonts w:eastAsia="Times New Roman" w:cstheme="minorHAnsi"/>
          <w:i/>
          <w:iCs/>
          <w:color w:val="000000"/>
          <w:sz w:val="18"/>
          <w:szCs w:val="18"/>
        </w:rPr>
      </w:pPr>
      <w:r w:rsidRPr="0082158F">
        <w:rPr>
          <w:rFonts w:eastAsia="Times New Roman" w:cstheme="minorHAnsi"/>
          <w:i/>
          <w:iCs/>
          <w:color w:val="000000"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iCs/>
          <w:color w:val="000000"/>
          <w:sz w:val="18"/>
          <w:szCs w:val="18"/>
        </w:rPr>
        <w:t xml:space="preserve"> University of Lausanne, Department of Fundamental Oncology, Lausanne, Switzerland.</w:t>
      </w:r>
    </w:p>
    <w:p w14:paraId="76BD92FD" w14:textId="77777777" w:rsidR="00DA121E" w:rsidRPr="0082158F" w:rsidRDefault="00DA121E" w:rsidP="00DA121E">
      <w:pPr>
        <w:spacing w:line="276" w:lineRule="auto"/>
        <w:jc w:val="both"/>
        <w:rPr>
          <w:rFonts w:eastAsia="Times New Roman" w:cstheme="minorHAnsi"/>
          <w:i/>
          <w:iCs/>
          <w:color w:val="000000"/>
          <w:sz w:val="18"/>
          <w:szCs w:val="18"/>
        </w:rPr>
      </w:pPr>
      <w:r w:rsidRPr="0082158F">
        <w:rPr>
          <w:rFonts w:eastAsia="Times New Roman" w:cstheme="minorHAnsi"/>
          <w:i/>
          <w:iCs/>
          <w:color w:val="000000"/>
          <w:sz w:val="18"/>
          <w:szCs w:val="18"/>
          <w:vertAlign w:val="superscript"/>
        </w:rPr>
        <w:t>4</w:t>
      </w:r>
      <w:r w:rsidRPr="0082158F">
        <w:rPr>
          <w:rFonts w:eastAsia="Times New Roman" w:cstheme="minorHAnsi"/>
          <w:i/>
          <w:iCs/>
          <w:color w:val="000000"/>
          <w:sz w:val="18"/>
          <w:szCs w:val="18"/>
        </w:rPr>
        <w:t xml:space="preserve"> Swiss Federal Institute of Technology Swiss Institute for Experimental Cancer Research, Lausanne, Switzerland</w:t>
      </w:r>
    </w:p>
    <w:p w14:paraId="0CFEBB5D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6088C"/>
    <w:multiLevelType w:val="hybridMultilevel"/>
    <w:tmpl w:val="233E8216"/>
    <w:lvl w:ilvl="0" w:tplc="04090011">
      <w:start w:val="4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E410A"/>
    <w:multiLevelType w:val="hybridMultilevel"/>
    <w:tmpl w:val="0DD27D7C"/>
    <w:lvl w:ilvl="0" w:tplc="6A884B5A">
      <w:start w:val="29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1E"/>
    <w:rsid w:val="007825E3"/>
    <w:rsid w:val="009134EA"/>
    <w:rsid w:val="00D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4BA1"/>
  <w15:chartTrackingRefBased/>
  <w15:docId w15:val="{2F86C65F-784C-4CFD-93BB-4A1800A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1</cp:revision>
  <dcterms:created xsi:type="dcterms:W3CDTF">2020-10-19T18:45:00Z</dcterms:created>
  <dcterms:modified xsi:type="dcterms:W3CDTF">2020-10-19T18:46:00Z</dcterms:modified>
</cp:coreProperties>
</file>