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B7B21" w14:textId="3BB871E4" w:rsidR="00114112" w:rsidRPr="00114112" w:rsidRDefault="00114112" w:rsidP="00114112">
      <w:pPr>
        <w:pStyle w:val="ListParagraph"/>
        <w:keepNext/>
        <w:keepLines/>
        <w:numPr>
          <w:ilvl w:val="0"/>
          <w:numId w:val="2"/>
        </w:numPr>
        <w:tabs>
          <w:tab w:val="left" w:pos="0"/>
        </w:tabs>
        <w:spacing w:after="0" w:line="240" w:lineRule="auto"/>
        <w:jc w:val="center"/>
        <w:outlineLvl w:val="0"/>
        <w:rPr>
          <w:rFonts w:eastAsiaTheme="majorEastAsia" w:cstheme="minorHAnsi"/>
          <w:b/>
          <w:bCs/>
          <w:sz w:val="28"/>
          <w:szCs w:val="24"/>
        </w:rPr>
      </w:pPr>
      <w:r>
        <w:rPr>
          <w:rFonts w:eastAsiaTheme="majorEastAsia" w:cstheme="minorHAnsi"/>
          <w:b/>
          <w:bCs/>
          <w:sz w:val="28"/>
          <w:szCs w:val="24"/>
        </w:rPr>
        <w:t xml:space="preserve">    </w:t>
      </w:r>
      <w:r w:rsidRPr="00114112">
        <w:rPr>
          <w:rFonts w:eastAsiaTheme="majorEastAsia" w:cstheme="minorHAnsi"/>
          <w:b/>
          <w:bCs/>
          <w:sz w:val="28"/>
          <w:szCs w:val="24"/>
        </w:rPr>
        <w:t>A</w:t>
      </w:r>
      <w:r w:rsidRPr="00114112">
        <w:rPr>
          <w:rFonts w:eastAsiaTheme="minorEastAsia" w:cstheme="minorHAnsi"/>
          <w:b/>
          <w:bCs/>
          <w:kern w:val="24"/>
          <w:sz w:val="28"/>
          <w:szCs w:val="24"/>
        </w:rPr>
        <w:t xml:space="preserve"> </w:t>
      </w:r>
      <w:r w:rsidRPr="00114112">
        <w:rPr>
          <w:rFonts w:eastAsiaTheme="majorEastAsia" w:cstheme="minorHAnsi"/>
          <w:b/>
          <w:bCs/>
          <w:sz w:val="28"/>
          <w:szCs w:val="24"/>
        </w:rPr>
        <w:t>randomized controlled pilot study of a yoga skills training compared to an attention control implemented in the clinic during chemotherapy</w:t>
      </w:r>
    </w:p>
    <w:p w14:paraId="7FCF8D1B" w14:textId="77777777" w:rsidR="00114112" w:rsidRPr="00114112" w:rsidRDefault="00114112" w:rsidP="00114112">
      <w:pPr>
        <w:rPr>
          <w:rFonts w:cstheme="minorHAnsi"/>
        </w:rPr>
      </w:pPr>
    </w:p>
    <w:p w14:paraId="58654935" w14:textId="77777777" w:rsidR="00114112" w:rsidRPr="00114112" w:rsidRDefault="00114112" w:rsidP="00114112">
      <w:pPr>
        <w:spacing w:after="0" w:line="240" w:lineRule="auto"/>
        <w:ind w:left="720"/>
        <w:contextualSpacing/>
        <w:rPr>
          <w:rFonts w:eastAsia="Times New Roman" w:cstheme="minorHAnsi"/>
          <w:b/>
          <w:bCs/>
          <w:color w:val="000000"/>
          <w:sz w:val="24"/>
          <w:szCs w:val="24"/>
        </w:rPr>
      </w:pPr>
      <w:r w:rsidRPr="00114112">
        <w:rPr>
          <w:rFonts w:eastAsia="Times New Roman" w:cstheme="minorHAnsi"/>
          <w:b/>
          <w:bCs/>
          <w:color w:val="000000"/>
          <w:sz w:val="24"/>
          <w:szCs w:val="24"/>
        </w:rPr>
        <w:t>Global Integrative Oncology: Use in Cancer Treatment &amp; Patient Management</w:t>
      </w:r>
    </w:p>
    <w:p w14:paraId="40B64E98" w14:textId="77777777" w:rsidR="00114112" w:rsidRPr="00114112" w:rsidRDefault="00114112" w:rsidP="00114112">
      <w:pPr>
        <w:rPr>
          <w:rFonts w:cstheme="minorHAnsi"/>
        </w:rPr>
      </w:pPr>
    </w:p>
    <w:p w14:paraId="2CF1FCFB" w14:textId="77777777" w:rsidR="00114112" w:rsidRPr="00114112" w:rsidRDefault="00114112" w:rsidP="00114112">
      <w:pPr>
        <w:autoSpaceDE w:val="0"/>
        <w:autoSpaceDN w:val="0"/>
        <w:adjustRightInd w:val="0"/>
        <w:spacing w:after="0" w:line="240" w:lineRule="auto"/>
        <w:rPr>
          <w:rFonts w:cstheme="minorHAnsi"/>
          <w:b/>
          <w:i/>
          <w:color w:val="000000"/>
          <w:sz w:val="24"/>
          <w:szCs w:val="24"/>
        </w:rPr>
      </w:pPr>
      <w:r w:rsidRPr="00114112">
        <w:rPr>
          <w:rFonts w:cstheme="minorHAnsi"/>
          <w:b/>
          <w:color w:val="000000"/>
          <w:sz w:val="24"/>
          <w:szCs w:val="24"/>
        </w:rPr>
        <w:t>Background:</w:t>
      </w:r>
      <w:r w:rsidRPr="00114112">
        <w:rPr>
          <w:rFonts w:cstheme="minorHAnsi"/>
          <w:color w:val="000000"/>
          <w:sz w:val="24"/>
          <w:szCs w:val="24"/>
        </w:rPr>
        <w:t xml:space="preserve"> Fatigue is reported by a majority of gastrointestinal (GI) cancer patients and co-occurs with depression and sleep disturbances. </w:t>
      </w:r>
    </w:p>
    <w:p w14:paraId="5A82E1E7" w14:textId="77777777" w:rsidR="00114112" w:rsidRPr="00114112" w:rsidRDefault="00114112" w:rsidP="00114112">
      <w:pPr>
        <w:autoSpaceDE w:val="0"/>
        <w:autoSpaceDN w:val="0"/>
        <w:adjustRightInd w:val="0"/>
        <w:spacing w:after="0" w:line="240" w:lineRule="auto"/>
        <w:rPr>
          <w:rFonts w:cstheme="minorHAnsi"/>
          <w:i/>
          <w:color w:val="000000"/>
          <w:sz w:val="24"/>
          <w:szCs w:val="24"/>
        </w:rPr>
      </w:pPr>
      <w:r w:rsidRPr="00114112">
        <w:rPr>
          <w:rFonts w:cstheme="minorHAnsi"/>
          <w:b/>
          <w:color w:val="000000"/>
          <w:sz w:val="24"/>
          <w:szCs w:val="24"/>
        </w:rPr>
        <w:t>Aim:</w:t>
      </w:r>
      <w:r w:rsidRPr="00114112">
        <w:rPr>
          <w:rFonts w:cstheme="minorHAnsi"/>
          <w:color w:val="000000"/>
          <w:sz w:val="24"/>
          <w:szCs w:val="24"/>
        </w:rPr>
        <w:t xml:space="preserve"> To conduct a randomized controlled pilot study of a Yoga Skills Training (YST) </w:t>
      </w:r>
      <w:r w:rsidRPr="00114112">
        <w:rPr>
          <w:rFonts w:eastAsiaTheme="minorEastAsia" w:cstheme="minorHAnsi"/>
          <w:bCs/>
          <w:color w:val="000000" w:themeColor="text1"/>
          <w:kern w:val="24"/>
          <w:sz w:val="24"/>
          <w:szCs w:val="24"/>
        </w:rPr>
        <w:t xml:space="preserve">compared to an attention control (AC) among adults diagnosed with </w:t>
      </w:r>
      <w:r w:rsidRPr="00114112">
        <w:rPr>
          <w:rFonts w:cstheme="minorHAnsi"/>
          <w:color w:val="000000"/>
          <w:sz w:val="24"/>
          <w:szCs w:val="24"/>
        </w:rPr>
        <w:t>gastrointestinal (GI) cancer</w:t>
      </w:r>
      <w:r w:rsidRPr="00114112">
        <w:rPr>
          <w:rFonts w:eastAsiaTheme="minorEastAsia" w:cstheme="minorHAnsi"/>
          <w:bCs/>
          <w:color w:val="000000" w:themeColor="text1"/>
          <w:kern w:val="24"/>
          <w:sz w:val="24"/>
          <w:szCs w:val="24"/>
        </w:rPr>
        <w:t xml:space="preserve">. </w:t>
      </w:r>
    </w:p>
    <w:p w14:paraId="6A214803" w14:textId="77777777" w:rsidR="00114112" w:rsidRPr="00114112" w:rsidRDefault="00114112" w:rsidP="00114112">
      <w:pPr>
        <w:autoSpaceDE w:val="0"/>
        <w:autoSpaceDN w:val="0"/>
        <w:adjustRightInd w:val="0"/>
        <w:spacing w:after="0" w:line="240" w:lineRule="auto"/>
        <w:rPr>
          <w:rFonts w:eastAsia="Calibri" w:cstheme="minorHAnsi"/>
          <w:i/>
          <w:color w:val="000000"/>
          <w:sz w:val="24"/>
          <w:szCs w:val="24"/>
        </w:rPr>
      </w:pPr>
      <w:r w:rsidRPr="00114112">
        <w:rPr>
          <w:rFonts w:cstheme="minorHAnsi"/>
          <w:b/>
          <w:color w:val="000000"/>
          <w:sz w:val="24"/>
          <w:szCs w:val="24"/>
        </w:rPr>
        <w:t>Methodology:</w:t>
      </w:r>
      <w:r w:rsidRPr="00114112">
        <w:rPr>
          <w:rFonts w:cstheme="minorHAnsi"/>
          <w:color w:val="000000"/>
          <w:sz w:val="24"/>
          <w:szCs w:val="24"/>
        </w:rPr>
        <w:t xml:space="preserve"> </w:t>
      </w:r>
      <w:r w:rsidRPr="00114112">
        <w:rPr>
          <w:rFonts w:eastAsia="Calibri" w:cstheme="minorHAnsi"/>
          <w:color w:val="000000"/>
          <w:sz w:val="24"/>
          <w:szCs w:val="24"/>
        </w:rPr>
        <w:t>YST teaches the key elements of yoga (meditation, movements, breathing practices)</w:t>
      </w:r>
      <w:r w:rsidRPr="00114112">
        <w:rPr>
          <w:rFonts w:cstheme="minorHAnsi"/>
          <w:color w:val="000000"/>
          <w:sz w:val="24"/>
          <w:szCs w:val="24"/>
        </w:rPr>
        <w:t xml:space="preserve"> delivered individually in the chair during chemotherapy to lessen barriers to participation (e.g., scheduling). </w:t>
      </w:r>
      <w:r w:rsidRPr="00114112">
        <w:rPr>
          <w:rFonts w:eastAsia="Calibri" w:cstheme="minorHAnsi"/>
          <w:color w:val="000000"/>
          <w:sz w:val="24"/>
          <w:szCs w:val="24"/>
        </w:rPr>
        <w:t xml:space="preserve">YST consisted of four 30-minute sessions plus home practice. AC </w:t>
      </w:r>
      <w:r w:rsidRPr="00114112">
        <w:rPr>
          <w:rFonts w:cstheme="minorHAnsi"/>
          <w:color w:val="000000"/>
          <w:sz w:val="24"/>
          <w:szCs w:val="24"/>
        </w:rPr>
        <w:t xml:space="preserve">offered active listening plus </w:t>
      </w:r>
      <w:r w:rsidRPr="00114112">
        <w:rPr>
          <w:rFonts w:eastAsia="Calibri" w:cstheme="minorHAnsi"/>
          <w:color w:val="000000"/>
          <w:sz w:val="24"/>
          <w:szCs w:val="24"/>
        </w:rPr>
        <w:t>home diaries. Patient-reported (</w:t>
      </w:r>
      <w:r w:rsidRPr="00114112">
        <w:rPr>
          <w:rFonts w:cstheme="minorHAnsi"/>
          <w:color w:val="000000"/>
          <w:sz w:val="24"/>
          <w:szCs w:val="24"/>
        </w:rPr>
        <w:t>PROMIS) measures of fatigue (primary outcome), depressive symptoms and sleep disturbances were collected by blinded assessors at baseline, the day of the last intervention (Week 8) and post-intervention (Week 10). A mixed effects model was used to estimate changes in outcomes over time by arm.</w:t>
      </w:r>
    </w:p>
    <w:p w14:paraId="19D486EA" w14:textId="77777777" w:rsidR="00114112" w:rsidRPr="00114112" w:rsidRDefault="00114112" w:rsidP="00114112">
      <w:pPr>
        <w:autoSpaceDE w:val="0"/>
        <w:autoSpaceDN w:val="0"/>
        <w:adjustRightInd w:val="0"/>
        <w:spacing w:after="0" w:line="240" w:lineRule="auto"/>
        <w:rPr>
          <w:rFonts w:cstheme="minorHAnsi"/>
          <w:color w:val="000000"/>
          <w:sz w:val="24"/>
          <w:szCs w:val="24"/>
        </w:rPr>
      </w:pPr>
      <w:r w:rsidRPr="00114112">
        <w:rPr>
          <w:rFonts w:eastAsia="Calibri" w:cstheme="minorHAnsi"/>
          <w:b/>
          <w:color w:val="000000"/>
          <w:sz w:val="24"/>
          <w:szCs w:val="24"/>
        </w:rPr>
        <w:t>Results:</w:t>
      </w:r>
      <w:r w:rsidRPr="00114112">
        <w:rPr>
          <w:rFonts w:eastAsia="Calibri" w:cstheme="minorHAnsi"/>
          <w:color w:val="000000"/>
          <w:sz w:val="24"/>
          <w:szCs w:val="24"/>
        </w:rPr>
        <w:t xml:space="preserve"> </w:t>
      </w:r>
      <w:r w:rsidRPr="00114112">
        <w:rPr>
          <w:rFonts w:cstheme="minorHAnsi"/>
          <w:color w:val="000000"/>
          <w:sz w:val="24"/>
          <w:szCs w:val="24"/>
        </w:rPr>
        <w:t>Forty-four of 77 eligible adults agreed to participate (57%; YST n=23; AC n=21). Participants mean age was 58 years, a majority were White (86%), and approximately half were men (48%). Adherence to four sessions was 80% (YST=74%; AC=86%). Seventy-seven percent of participants completed the Week 10 primary outcome assessment (YST=87%; AC=67%). Results showed a larger decline in fatigue for YST vs. AC from baseline to Week 10 (-2.4 T-score point difference, d=0.33, SD=7.28). This was less than the estimated minimally important difference (MID) of 3.0-5.0. There was also a larger decline in depressive symptoms in YST at Week 10 (-2.5 difference, d=0.33, SD=7.61, MID 3.0-4.5) and sleep disturbances at Week 8 (-3.9 difference, d=0.56, SD=7.11, no known MID). This trial was registered (NCT02489422) and NIH grant funded (K01AT008219).</w:t>
      </w:r>
    </w:p>
    <w:p w14:paraId="09488119" w14:textId="77777777" w:rsidR="00114112" w:rsidRPr="00114112" w:rsidRDefault="00114112" w:rsidP="00114112">
      <w:pPr>
        <w:rPr>
          <w:rFonts w:cstheme="minorHAnsi"/>
          <w:b/>
        </w:rPr>
      </w:pPr>
    </w:p>
    <w:p w14:paraId="3D8D5780" w14:textId="77777777" w:rsidR="00114112" w:rsidRPr="00114112" w:rsidRDefault="00114112" w:rsidP="00114112">
      <w:pPr>
        <w:rPr>
          <w:rFonts w:cstheme="minorHAnsi"/>
        </w:rPr>
      </w:pPr>
      <w:r w:rsidRPr="00114112">
        <w:rPr>
          <w:rFonts w:cstheme="minorHAnsi"/>
          <w:b/>
        </w:rPr>
        <w:t>Conclusions:</w:t>
      </w:r>
      <w:r w:rsidRPr="00114112">
        <w:rPr>
          <w:rFonts w:cstheme="minorHAnsi"/>
        </w:rPr>
        <w:t xml:space="preserve"> This pilot study demonstrated that YST is feasible and can reach those who have not typically participated in yoga research (GI cancer patients, men). YST may improve fatigue, depressive symptoms, and sleep disturbances, warranting further examination.</w:t>
      </w:r>
    </w:p>
    <w:p w14:paraId="7262A4E9" w14:textId="77777777" w:rsidR="00114112" w:rsidRPr="00114112" w:rsidRDefault="00114112" w:rsidP="00114112">
      <w:pPr>
        <w:autoSpaceDE w:val="0"/>
        <w:autoSpaceDN w:val="0"/>
        <w:adjustRightInd w:val="0"/>
        <w:spacing w:after="0" w:line="240" w:lineRule="auto"/>
        <w:rPr>
          <w:rFonts w:cstheme="minorHAnsi"/>
          <w:i/>
          <w:iCs/>
          <w:color w:val="000000"/>
          <w:sz w:val="18"/>
          <w:szCs w:val="18"/>
        </w:rPr>
      </w:pPr>
      <w:r w:rsidRPr="00114112">
        <w:rPr>
          <w:rFonts w:cstheme="minorHAnsi"/>
          <w:i/>
          <w:iCs/>
          <w:color w:val="000000"/>
          <w:sz w:val="18"/>
          <w:szCs w:val="18"/>
        </w:rPr>
        <w:t>S. J. Sohl,</w:t>
      </w:r>
      <w:r w:rsidRPr="00114112">
        <w:rPr>
          <w:rFonts w:cstheme="minorHAnsi"/>
          <w:i/>
          <w:iCs/>
          <w:color w:val="000000"/>
          <w:sz w:val="18"/>
          <w:szCs w:val="18"/>
          <w:vertAlign w:val="superscript"/>
        </w:rPr>
        <w:t>1</w:t>
      </w:r>
      <w:r w:rsidRPr="00114112">
        <w:rPr>
          <w:rFonts w:cstheme="minorHAnsi"/>
          <w:i/>
          <w:iCs/>
          <w:color w:val="000000"/>
          <w:sz w:val="18"/>
          <w:szCs w:val="18"/>
        </w:rPr>
        <w:t xml:space="preserve"> N. E. Avis,</w:t>
      </w:r>
      <w:r w:rsidRPr="00114112">
        <w:rPr>
          <w:rFonts w:cstheme="minorHAnsi"/>
          <w:i/>
          <w:iCs/>
          <w:color w:val="000000"/>
          <w:sz w:val="18"/>
          <w:szCs w:val="18"/>
          <w:vertAlign w:val="superscript"/>
        </w:rPr>
        <w:t>1</w:t>
      </w:r>
      <w:r w:rsidRPr="00114112">
        <w:rPr>
          <w:rFonts w:cstheme="minorHAnsi"/>
          <w:i/>
          <w:iCs/>
          <w:color w:val="000000"/>
          <w:sz w:val="18"/>
          <w:szCs w:val="18"/>
        </w:rPr>
        <w:t xml:space="preserve"> J. A. Tooze,</w:t>
      </w:r>
      <w:r w:rsidRPr="00114112">
        <w:rPr>
          <w:rFonts w:cstheme="minorHAnsi"/>
          <w:i/>
          <w:iCs/>
          <w:color w:val="000000"/>
          <w:sz w:val="18"/>
          <w:szCs w:val="18"/>
          <w:vertAlign w:val="superscript"/>
        </w:rPr>
        <w:t>1</w:t>
      </w:r>
      <w:r w:rsidRPr="00114112">
        <w:rPr>
          <w:rFonts w:cstheme="minorHAnsi"/>
          <w:i/>
          <w:iCs/>
          <w:color w:val="000000"/>
          <w:sz w:val="18"/>
          <w:szCs w:val="18"/>
        </w:rPr>
        <w:t xml:space="preserve"> M. Dietrich,</w:t>
      </w:r>
      <w:r w:rsidRPr="00114112">
        <w:rPr>
          <w:rFonts w:cstheme="minorHAnsi"/>
          <w:i/>
          <w:iCs/>
          <w:color w:val="000000"/>
          <w:sz w:val="18"/>
          <w:szCs w:val="18"/>
          <w:vertAlign w:val="superscript"/>
        </w:rPr>
        <w:t>2,3</w:t>
      </w:r>
      <w:r w:rsidRPr="00114112">
        <w:rPr>
          <w:rFonts w:cstheme="minorHAnsi"/>
          <w:i/>
          <w:iCs/>
          <w:color w:val="000000"/>
          <w:sz w:val="18"/>
          <w:szCs w:val="18"/>
        </w:rPr>
        <w:t xml:space="preserve"> E. N. Johnson,</w:t>
      </w:r>
      <w:r w:rsidRPr="00114112">
        <w:rPr>
          <w:rFonts w:cstheme="minorHAnsi"/>
          <w:i/>
          <w:iCs/>
          <w:color w:val="000000"/>
          <w:sz w:val="18"/>
          <w:szCs w:val="18"/>
          <w:vertAlign w:val="superscript"/>
        </w:rPr>
        <w:t>1</w:t>
      </w:r>
      <w:r w:rsidRPr="00114112">
        <w:rPr>
          <w:rFonts w:cstheme="minorHAnsi"/>
          <w:i/>
          <w:iCs/>
          <w:color w:val="000000"/>
          <w:sz w:val="18"/>
          <w:szCs w:val="18"/>
        </w:rPr>
        <w:t xml:space="preserve"> A. Wheeler,</w:t>
      </w:r>
      <w:r w:rsidRPr="00114112">
        <w:rPr>
          <w:rFonts w:cstheme="minorHAnsi"/>
          <w:i/>
          <w:iCs/>
          <w:color w:val="000000"/>
          <w:sz w:val="18"/>
          <w:szCs w:val="18"/>
          <w:vertAlign w:val="superscript"/>
        </w:rPr>
        <w:t>4</w:t>
      </w:r>
      <w:r w:rsidRPr="00114112">
        <w:rPr>
          <w:rFonts w:cstheme="minorHAnsi"/>
          <w:i/>
          <w:iCs/>
          <w:color w:val="000000"/>
          <w:sz w:val="18"/>
          <w:szCs w:val="18"/>
        </w:rPr>
        <w:t xml:space="preserve"> S. H. Ridner.,</w:t>
      </w:r>
      <w:r w:rsidRPr="00114112">
        <w:rPr>
          <w:rFonts w:cstheme="minorHAnsi"/>
          <w:i/>
          <w:iCs/>
          <w:color w:val="000000"/>
          <w:sz w:val="18"/>
          <w:szCs w:val="18"/>
          <w:vertAlign w:val="superscript"/>
        </w:rPr>
        <w:t>2</w:t>
      </w:r>
      <w:r w:rsidRPr="00114112">
        <w:rPr>
          <w:rFonts w:cstheme="minorHAnsi"/>
          <w:i/>
          <w:iCs/>
          <w:color w:val="000000"/>
          <w:sz w:val="18"/>
          <w:szCs w:val="18"/>
        </w:rPr>
        <w:t xml:space="preserve"> R. Rothman,</w:t>
      </w:r>
      <w:r w:rsidRPr="00114112">
        <w:rPr>
          <w:rFonts w:cstheme="minorHAnsi"/>
          <w:i/>
          <w:iCs/>
          <w:color w:val="000000"/>
          <w:sz w:val="18"/>
          <w:szCs w:val="18"/>
          <w:vertAlign w:val="superscript"/>
        </w:rPr>
        <w:t>3</w:t>
      </w:r>
      <w:r w:rsidRPr="00114112">
        <w:rPr>
          <w:rFonts w:cstheme="minorHAnsi"/>
          <w:i/>
          <w:iCs/>
          <w:color w:val="000000"/>
          <w:sz w:val="18"/>
          <w:szCs w:val="18"/>
        </w:rPr>
        <w:t xml:space="preserve"> L.I. Wagner</w:t>
      </w:r>
      <w:r w:rsidRPr="00114112">
        <w:rPr>
          <w:rFonts w:cstheme="minorHAnsi"/>
          <w:i/>
          <w:iCs/>
          <w:color w:val="000000"/>
          <w:sz w:val="18"/>
          <w:szCs w:val="18"/>
          <w:vertAlign w:val="superscript"/>
        </w:rPr>
        <w:t>1</w:t>
      </w:r>
    </w:p>
    <w:p w14:paraId="4D5D6F90" w14:textId="77777777" w:rsidR="00114112" w:rsidRPr="00114112" w:rsidRDefault="00114112" w:rsidP="00114112">
      <w:pPr>
        <w:rPr>
          <w:rFonts w:cstheme="minorHAnsi"/>
          <w:i/>
          <w:iCs/>
          <w:sz w:val="18"/>
          <w:szCs w:val="18"/>
        </w:rPr>
      </w:pPr>
    </w:p>
    <w:p w14:paraId="148DB6F7" w14:textId="77777777" w:rsidR="00114112" w:rsidRPr="00114112" w:rsidRDefault="00114112" w:rsidP="00114112">
      <w:pPr>
        <w:rPr>
          <w:rFonts w:cstheme="minorHAnsi"/>
          <w:i/>
          <w:iCs/>
          <w:sz w:val="18"/>
          <w:szCs w:val="18"/>
        </w:rPr>
      </w:pPr>
      <w:r w:rsidRPr="00114112">
        <w:rPr>
          <w:rFonts w:cstheme="minorHAnsi"/>
          <w:b/>
          <w:bCs/>
          <w:i/>
          <w:iCs/>
          <w:sz w:val="18"/>
          <w:szCs w:val="18"/>
        </w:rPr>
        <w:t xml:space="preserve">1. Wake Forest School of Medicine, Winston-Salem, NC, USA; 2. Vanderbilt University School of Nursing, Nashville, TN, USA; 3. Vanderbilt University School of Medicine, Nashville, TN, USA; 4. </w:t>
      </w:r>
      <w:r w:rsidRPr="00114112">
        <w:rPr>
          <w:rFonts w:cstheme="minorHAnsi"/>
          <w:i/>
          <w:iCs/>
          <w:sz w:val="18"/>
          <w:szCs w:val="18"/>
        </w:rPr>
        <w:t>California State University, San Bernardino, USA</w:t>
      </w:r>
      <w:bookmarkStart w:id="0" w:name="_Toc182630310"/>
      <w:bookmarkStart w:id="1" w:name="_Toc182630584"/>
      <w:bookmarkStart w:id="2" w:name="_Toc182636488"/>
      <w:bookmarkStart w:id="3" w:name="_Toc182643331"/>
      <w:bookmarkStart w:id="4" w:name="_Toc182646405"/>
      <w:bookmarkStart w:id="5" w:name="_Toc182646879"/>
      <w:bookmarkStart w:id="6" w:name="_Toc323806632"/>
    </w:p>
    <w:bookmarkEnd w:id="0"/>
    <w:bookmarkEnd w:id="1"/>
    <w:bookmarkEnd w:id="2"/>
    <w:bookmarkEnd w:id="3"/>
    <w:bookmarkEnd w:id="4"/>
    <w:bookmarkEnd w:id="5"/>
    <w:bookmarkEnd w:id="6"/>
    <w:p w14:paraId="4967E1E3"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B115E"/>
    <w:multiLevelType w:val="hybridMultilevel"/>
    <w:tmpl w:val="5B287570"/>
    <w:lvl w:ilvl="0" w:tplc="51E29AC0">
      <w:start w:val="4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E410A"/>
    <w:multiLevelType w:val="hybridMultilevel"/>
    <w:tmpl w:val="0DD27D7C"/>
    <w:lvl w:ilvl="0" w:tplc="6A884B5A">
      <w:start w:val="29"/>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12"/>
    <w:rsid w:val="00114112"/>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B928"/>
  <w15:chartTrackingRefBased/>
  <w15:docId w15:val="{7F8FEE4C-0F47-4494-9E32-2B6C2D36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2020-10-19T18:45:00Z</dcterms:created>
  <dcterms:modified xsi:type="dcterms:W3CDTF">2020-10-19T18:45:00Z</dcterms:modified>
</cp:coreProperties>
</file>