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ADC1F" w14:textId="2185CA67" w:rsidR="00D52415" w:rsidRPr="0082158F" w:rsidRDefault="00D52415" w:rsidP="00D52415">
      <w:pPr>
        <w:pStyle w:val="BodyA"/>
        <w:numPr>
          <w:ilvl w:val="0"/>
          <w:numId w:val="2"/>
        </w:numPr>
        <w:jc w:val="center"/>
        <w:rPr>
          <w:rFonts w:asciiTheme="minorHAnsi" w:hAnsiTheme="minorHAnsi" w:cstheme="minorHAnsi"/>
          <w:b/>
          <w:bCs/>
          <w:sz w:val="24"/>
          <w:szCs w:val="24"/>
          <w:lang w:val="fr-FR"/>
        </w:rPr>
      </w:pPr>
      <w:r w:rsidRPr="0082158F">
        <w:rPr>
          <w:rFonts w:asciiTheme="minorHAnsi" w:hAnsiTheme="minorHAnsi" w:cstheme="minorHAnsi"/>
          <w:b/>
          <w:bCs/>
          <w:sz w:val="24"/>
          <w:szCs w:val="24"/>
          <w:lang w:val="fr-FR"/>
        </w:rPr>
        <w:t xml:space="preserve">Everyday </w:t>
      </w:r>
      <w:proofErr w:type="spellStart"/>
      <w:r w:rsidRPr="0082158F">
        <w:rPr>
          <w:rFonts w:asciiTheme="minorHAnsi" w:hAnsiTheme="minorHAnsi" w:cstheme="minorHAnsi"/>
          <w:b/>
          <w:bCs/>
          <w:sz w:val="24"/>
          <w:szCs w:val="24"/>
          <w:lang w:val="fr-FR"/>
        </w:rPr>
        <w:t>Spice</w:t>
      </w:r>
      <w:proofErr w:type="spellEnd"/>
      <w:r w:rsidRPr="0082158F">
        <w:rPr>
          <w:rFonts w:asciiTheme="minorHAnsi" w:hAnsiTheme="minorHAnsi" w:cstheme="minorHAnsi"/>
          <w:b/>
          <w:bCs/>
          <w:sz w:val="24"/>
          <w:szCs w:val="24"/>
          <w:lang w:val="fr-FR"/>
        </w:rPr>
        <w:t xml:space="preserve">, </w:t>
      </w:r>
      <w:proofErr w:type="spellStart"/>
      <w:r w:rsidRPr="0082158F">
        <w:rPr>
          <w:rFonts w:asciiTheme="minorHAnsi" w:hAnsiTheme="minorHAnsi" w:cstheme="minorHAnsi"/>
          <w:b/>
          <w:bCs/>
          <w:sz w:val="24"/>
          <w:szCs w:val="24"/>
          <w:lang w:val="fr-FR"/>
        </w:rPr>
        <w:t>Cilantro</w:t>
      </w:r>
      <w:proofErr w:type="spellEnd"/>
      <w:r w:rsidRPr="0082158F">
        <w:rPr>
          <w:rFonts w:asciiTheme="minorHAnsi" w:hAnsiTheme="minorHAnsi" w:cstheme="minorHAnsi"/>
          <w:b/>
          <w:bCs/>
          <w:sz w:val="24"/>
          <w:szCs w:val="24"/>
          <w:lang w:val="fr-FR"/>
        </w:rPr>
        <w:t xml:space="preserve">, </w:t>
      </w:r>
      <w:proofErr w:type="spellStart"/>
      <w:r w:rsidRPr="0082158F">
        <w:rPr>
          <w:rFonts w:asciiTheme="minorHAnsi" w:hAnsiTheme="minorHAnsi" w:cstheme="minorHAnsi"/>
          <w:b/>
          <w:bCs/>
          <w:sz w:val="24"/>
          <w:szCs w:val="24"/>
          <w:lang w:val="fr-FR"/>
        </w:rPr>
        <w:t>Exhibits</w:t>
      </w:r>
      <w:proofErr w:type="spellEnd"/>
      <w:r w:rsidRPr="0082158F">
        <w:rPr>
          <w:rFonts w:asciiTheme="minorHAnsi" w:hAnsiTheme="minorHAnsi" w:cstheme="minorHAnsi"/>
          <w:b/>
          <w:bCs/>
          <w:sz w:val="24"/>
          <w:szCs w:val="24"/>
          <w:lang w:val="fr-FR"/>
        </w:rPr>
        <w:t xml:space="preserve"> </w:t>
      </w:r>
      <w:proofErr w:type="spellStart"/>
      <w:r w:rsidRPr="0082158F">
        <w:rPr>
          <w:rFonts w:asciiTheme="minorHAnsi" w:hAnsiTheme="minorHAnsi" w:cstheme="minorHAnsi"/>
          <w:b/>
          <w:bCs/>
          <w:sz w:val="24"/>
          <w:szCs w:val="24"/>
          <w:lang w:val="fr-FR"/>
        </w:rPr>
        <w:t>Promising</w:t>
      </w:r>
      <w:proofErr w:type="spellEnd"/>
      <w:r w:rsidRPr="0082158F">
        <w:rPr>
          <w:rFonts w:asciiTheme="minorHAnsi" w:hAnsiTheme="minorHAnsi" w:cstheme="minorHAnsi"/>
          <w:b/>
          <w:bCs/>
          <w:sz w:val="24"/>
          <w:szCs w:val="24"/>
          <w:lang w:val="fr-FR"/>
        </w:rPr>
        <w:t xml:space="preserve"> Health </w:t>
      </w:r>
      <w:proofErr w:type="spellStart"/>
      <w:r w:rsidRPr="0082158F">
        <w:rPr>
          <w:rFonts w:asciiTheme="minorHAnsi" w:hAnsiTheme="minorHAnsi" w:cstheme="minorHAnsi"/>
          <w:b/>
          <w:bCs/>
          <w:sz w:val="24"/>
          <w:szCs w:val="24"/>
          <w:lang w:val="fr-FR"/>
        </w:rPr>
        <w:t>Benefits</w:t>
      </w:r>
      <w:proofErr w:type="spellEnd"/>
      <w:r w:rsidRPr="0082158F">
        <w:rPr>
          <w:rFonts w:asciiTheme="minorHAnsi" w:hAnsiTheme="minorHAnsi" w:cstheme="minorHAnsi"/>
          <w:b/>
          <w:bCs/>
          <w:sz w:val="24"/>
          <w:szCs w:val="24"/>
          <w:lang w:val="fr-FR"/>
        </w:rPr>
        <w:t xml:space="preserve"> </w:t>
      </w:r>
      <w:proofErr w:type="spellStart"/>
      <w:r w:rsidRPr="0082158F">
        <w:rPr>
          <w:rFonts w:asciiTheme="minorHAnsi" w:hAnsiTheme="minorHAnsi" w:cstheme="minorHAnsi"/>
          <w:b/>
          <w:bCs/>
          <w:sz w:val="24"/>
          <w:szCs w:val="24"/>
          <w:lang w:val="fr-FR"/>
        </w:rPr>
        <w:t>against</w:t>
      </w:r>
      <w:proofErr w:type="spellEnd"/>
      <w:r w:rsidRPr="0082158F">
        <w:rPr>
          <w:rFonts w:asciiTheme="minorHAnsi" w:hAnsiTheme="minorHAnsi" w:cstheme="minorHAnsi"/>
          <w:b/>
          <w:bCs/>
          <w:sz w:val="24"/>
          <w:szCs w:val="24"/>
          <w:lang w:val="fr-FR"/>
        </w:rPr>
        <w:t xml:space="preserve"> Lung Cancer</w:t>
      </w:r>
    </w:p>
    <w:p w14:paraId="378B75E4" w14:textId="77777777" w:rsidR="00D52415" w:rsidRPr="0082158F" w:rsidRDefault="00D52415" w:rsidP="00D52415">
      <w:pPr>
        <w:pStyle w:val="BodyA"/>
        <w:ind w:left="720"/>
        <w:jc w:val="center"/>
        <w:rPr>
          <w:rFonts w:asciiTheme="minorHAnsi" w:hAnsiTheme="minorHAnsi" w:cstheme="minorHAnsi"/>
          <w:b/>
          <w:bCs/>
          <w:sz w:val="24"/>
          <w:szCs w:val="24"/>
          <w:lang w:val="fr-FR"/>
        </w:rPr>
      </w:pPr>
    </w:p>
    <w:p w14:paraId="7C368391" w14:textId="77777777" w:rsidR="00D52415" w:rsidRPr="0082158F" w:rsidRDefault="00D52415" w:rsidP="00D52415">
      <w:pPr>
        <w:spacing w:after="0" w:line="240" w:lineRule="auto"/>
        <w:jc w:val="center"/>
        <w:rPr>
          <w:rFonts w:eastAsia="Times New Roman" w:cstheme="minorHAnsi"/>
          <w:b/>
          <w:bCs/>
          <w:color w:val="000000"/>
          <w:sz w:val="24"/>
          <w:szCs w:val="24"/>
        </w:rPr>
      </w:pPr>
      <w:r w:rsidRPr="0082158F">
        <w:rPr>
          <w:rFonts w:eastAsia="Times New Roman" w:cstheme="minorHAnsi"/>
          <w:b/>
          <w:bCs/>
          <w:color w:val="000000"/>
          <w:sz w:val="24"/>
          <w:szCs w:val="24"/>
        </w:rPr>
        <w:t>Global Integrative Oncology: Use in Cancer Treatment &amp; Patient Management</w:t>
      </w:r>
    </w:p>
    <w:p w14:paraId="5262466A" w14:textId="77777777" w:rsidR="00D52415" w:rsidRPr="0082158F" w:rsidRDefault="00D52415" w:rsidP="00D52415">
      <w:pPr>
        <w:pStyle w:val="BodyA"/>
        <w:ind w:left="720"/>
        <w:rPr>
          <w:rFonts w:asciiTheme="minorHAnsi" w:hAnsiTheme="minorHAnsi" w:cstheme="minorHAnsi"/>
          <w:b/>
          <w:bCs/>
          <w:sz w:val="24"/>
          <w:szCs w:val="24"/>
          <w:lang w:val="fr-FR"/>
        </w:rPr>
      </w:pPr>
    </w:p>
    <w:p w14:paraId="1F342A59" w14:textId="77777777" w:rsidR="00D52415" w:rsidRPr="0082158F" w:rsidRDefault="00D52415" w:rsidP="00D52415">
      <w:pPr>
        <w:pStyle w:val="BodyA"/>
        <w:rPr>
          <w:rFonts w:asciiTheme="minorHAnsi" w:hAnsiTheme="minorHAnsi" w:cstheme="minorHAnsi"/>
          <w:b/>
          <w:bCs/>
          <w:sz w:val="24"/>
          <w:szCs w:val="24"/>
        </w:rPr>
      </w:pPr>
    </w:p>
    <w:p w14:paraId="2F496A01" w14:textId="77777777" w:rsidR="00D52415" w:rsidRPr="00D52415" w:rsidRDefault="00D52415" w:rsidP="00D52415">
      <w:pPr>
        <w:spacing w:after="0" w:line="240" w:lineRule="auto"/>
        <w:rPr>
          <w:rFonts w:cstheme="minorHAnsi"/>
          <w:sz w:val="24"/>
          <w:szCs w:val="24"/>
        </w:rPr>
      </w:pPr>
      <w:r w:rsidRPr="00D52415">
        <w:rPr>
          <w:rFonts w:cstheme="minorHAnsi"/>
          <w:b/>
          <w:sz w:val="24"/>
          <w:szCs w:val="24"/>
        </w:rPr>
        <w:t>Background</w:t>
      </w:r>
      <w:r w:rsidRPr="00D52415">
        <w:rPr>
          <w:rFonts w:cstheme="minorHAnsi"/>
          <w:bCs/>
          <w:sz w:val="24"/>
          <w:szCs w:val="24"/>
        </w:rPr>
        <w:t>:</w:t>
      </w:r>
      <w:r w:rsidRPr="00D52415">
        <w:rPr>
          <w:rFonts w:cstheme="minorHAnsi"/>
          <w:sz w:val="24"/>
          <w:szCs w:val="24"/>
        </w:rPr>
        <w:t xml:space="preserve"> Lung cancer is the leading cause of cancer death and the second leading cancer in incidence in the U.S. Around 228,820 new cases of lung cancer and 135,720 related deaths are projected to occur in the U.S. in 2020. Among these cases, lung adenocarcinoma is the most common form. Cilantro, from the leaves of the coriander plant, has been used for centuries in the flavoring of food. In recent years, it has been shown to inhibit the growth of breast and prostate cancers. Our lab has also shown it could inhibit the growth of bladder tumors. However, nothing is known about its effect on lung cancer. This study was therefore designed to investigate if cilantro has any direct effect on the growth of lung cancer and its potential molecular mechanisms.</w:t>
      </w:r>
    </w:p>
    <w:p w14:paraId="2E7481C1" w14:textId="77777777" w:rsidR="00D52415" w:rsidRPr="00D52415" w:rsidRDefault="00D52415" w:rsidP="00D52415">
      <w:pPr>
        <w:spacing w:after="0" w:line="240" w:lineRule="auto"/>
        <w:rPr>
          <w:rFonts w:cstheme="minorHAnsi"/>
          <w:sz w:val="24"/>
          <w:szCs w:val="24"/>
        </w:rPr>
      </w:pPr>
      <w:r w:rsidRPr="00D52415">
        <w:rPr>
          <w:rFonts w:cstheme="minorHAnsi"/>
          <w:sz w:val="24"/>
          <w:szCs w:val="24"/>
        </w:rPr>
        <w:br/>
      </w:r>
      <w:r w:rsidRPr="00D52415">
        <w:rPr>
          <w:rFonts w:cstheme="minorHAnsi"/>
          <w:b/>
          <w:sz w:val="24"/>
          <w:szCs w:val="24"/>
        </w:rPr>
        <w:t>Methods</w:t>
      </w:r>
      <w:r w:rsidRPr="00D52415">
        <w:rPr>
          <w:rFonts w:cstheme="minorHAnsi"/>
          <w:bCs/>
          <w:sz w:val="24"/>
          <w:szCs w:val="24"/>
        </w:rPr>
        <w:t>:</w:t>
      </w:r>
      <w:r w:rsidRPr="00D52415">
        <w:rPr>
          <w:rFonts w:cstheme="minorHAnsi"/>
          <w:sz w:val="24"/>
          <w:szCs w:val="24"/>
        </w:rPr>
        <w:t xml:space="preserve"> </w:t>
      </w:r>
      <w:proofErr w:type="spellStart"/>
      <w:r w:rsidRPr="00D52415">
        <w:rPr>
          <w:rFonts w:cstheme="minorHAnsi"/>
          <w:sz w:val="24"/>
          <w:szCs w:val="24"/>
        </w:rPr>
        <w:t>Clonogenic</w:t>
      </w:r>
      <w:proofErr w:type="spellEnd"/>
      <w:r w:rsidRPr="00D52415">
        <w:rPr>
          <w:rFonts w:cstheme="minorHAnsi"/>
          <w:sz w:val="24"/>
          <w:szCs w:val="24"/>
        </w:rPr>
        <w:t xml:space="preserve"> survival assay, cell proliferation, and caspase-3 activity kits were used to evaluate the direct effects of cilantro extract (CE) on cell survival, proliferation, and apoptosis of the </w:t>
      </w:r>
      <w:proofErr w:type="gramStart"/>
      <w:r w:rsidRPr="00D52415">
        <w:rPr>
          <w:rFonts w:cstheme="minorHAnsi"/>
          <w:sz w:val="24"/>
          <w:szCs w:val="24"/>
        </w:rPr>
        <w:t>widely-studied</w:t>
      </w:r>
      <w:proofErr w:type="gramEnd"/>
      <w:r w:rsidRPr="00D52415">
        <w:rPr>
          <w:rFonts w:cstheme="minorHAnsi"/>
          <w:sz w:val="24"/>
          <w:szCs w:val="24"/>
        </w:rPr>
        <w:t xml:space="preserve"> lung cancer cell line A549. We further investigated possible molecular mechanisms using RT-PCR.</w:t>
      </w:r>
    </w:p>
    <w:p w14:paraId="46A29757" w14:textId="77777777" w:rsidR="00D52415" w:rsidRPr="00D52415" w:rsidRDefault="00D52415" w:rsidP="00D52415">
      <w:pPr>
        <w:spacing w:after="0" w:line="240" w:lineRule="auto"/>
        <w:rPr>
          <w:rFonts w:cstheme="minorHAnsi"/>
          <w:b/>
          <w:sz w:val="24"/>
          <w:szCs w:val="24"/>
        </w:rPr>
      </w:pPr>
    </w:p>
    <w:p w14:paraId="6694B05B" w14:textId="77777777" w:rsidR="00D52415" w:rsidRPr="00D52415" w:rsidRDefault="00D52415" w:rsidP="00D52415">
      <w:pPr>
        <w:spacing w:after="0" w:line="240" w:lineRule="auto"/>
        <w:rPr>
          <w:rFonts w:cstheme="minorHAnsi"/>
          <w:sz w:val="24"/>
          <w:szCs w:val="24"/>
        </w:rPr>
      </w:pPr>
      <w:r w:rsidRPr="00D52415">
        <w:rPr>
          <w:rFonts w:cstheme="minorHAnsi"/>
          <w:b/>
          <w:sz w:val="24"/>
          <w:szCs w:val="24"/>
        </w:rPr>
        <w:t>Results</w:t>
      </w:r>
      <w:r w:rsidRPr="00D52415">
        <w:rPr>
          <w:rFonts w:cstheme="minorHAnsi"/>
          <w:bCs/>
          <w:sz w:val="24"/>
          <w:szCs w:val="24"/>
        </w:rPr>
        <w:t>:</w:t>
      </w:r>
      <w:r w:rsidRPr="00D52415">
        <w:rPr>
          <w:rFonts w:cstheme="minorHAnsi"/>
          <w:sz w:val="24"/>
          <w:szCs w:val="24"/>
        </w:rPr>
        <w:t xml:space="preserve"> The percentage of colonies of A549 cells decreased significantly when treated with CE. This was paralleled with the decrease in the OD value of cancer cells when treated with CE. Furthermore, the relative caspase-3 activity in cancer cells increased significantly in the presence of CE. The anti-tumor effect of CE on A549 cells correlated with decreased pro-proliferative molecules cyclin E and cdk2. The pro-apoptotic effect of CE correlated with decreased anti-apoptotic molecule FLIP.</w:t>
      </w:r>
    </w:p>
    <w:p w14:paraId="713E8566" w14:textId="77777777" w:rsidR="00D52415" w:rsidRPr="00D52415" w:rsidRDefault="00D52415" w:rsidP="00D52415">
      <w:pPr>
        <w:spacing w:after="0" w:line="240" w:lineRule="auto"/>
        <w:rPr>
          <w:rFonts w:cstheme="minorHAnsi"/>
          <w:sz w:val="24"/>
          <w:szCs w:val="24"/>
        </w:rPr>
      </w:pPr>
      <w:r w:rsidRPr="00D52415">
        <w:rPr>
          <w:rFonts w:cstheme="minorHAnsi"/>
          <w:sz w:val="24"/>
          <w:szCs w:val="24"/>
        </w:rPr>
        <w:br/>
      </w:r>
      <w:r w:rsidRPr="00D52415">
        <w:rPr>
          <w:rFonts w:cstheme="minorHAnsi"/>
          <w:b/>
          <w:sz w:val="24"/>
          <w:szCs w:val="24"/>
        </w:rPr>
        <w:t>Conclusions</w:t>
      </w:r>
      <w:r w:rsidRPr="00D52415">
        <w:rPr>
          <w:rFonts w:cstheme="minorHAnsi"/>
          <w:bCs/>
          <w:sz w:val="24"/>
          <w:szCs w:val="24"/>
        </w:rPr>
        <w:t>:</w:t>
      </w:r>
      <w:r w:rsidRPr="00D52415">
        <w:rPr>
          <w:rFonts w:cstheme="minorHAnsi"/>
          <w:sz w:val="24"/>
          <w:szCs w:val="24"/>
        </w:rPr>
        <w:t xml:space="preserve"> Cilantro inhibits lung adenocarcinoma cells by the inhibition of proliferation and the promotion of apoptosis via </w:t>
      </w:r>
      <w:bookmarkStart w:id="0" w:name="_Hlk33815270"/>
      <w:r w:rsidRPr="00D52415">
        <w:rPr>
          <w:rFonts w:cstheme="minorHAnsi"/>
          <w:sz w:val="24"/>
          <w:szCs w:val="24"/>
        </w:rPr>
        <w:t>the modulation of cyclin E, cdk2 and FLIP</w:t>
      </w:r>
      <w:bookmarkEnd w:id="0"/>
      <w:r w:rsidRPr="00D52415">
        <w:rPr>
          <w:rFonts w:cstheme="minorHAnsi"/>
          <w:sz w:val="24"/>
          <w:szCs w:val="24"/>
        </w:rPr>
        <w:t>. Such a study might be helpful to develop new treatment for lung cancer.</w:t>
      </w:r>
    </w:p>
    <w:p w14:paraId="06907AF1" w14:textId="77777777" w:rsidR="00D52415" w:rsidRPr="0082158F" w:rsidRDefault="00D52415" w:rsidP="00D52415">
      <w:pPr>
        <w:rPr>
          <w:rFonts w:cstheme="minorHAnsi"/>
          <w:i/>
          <w:iCs/>
          <w:sz w:val="18"/>
          <w:szCs w:val="18"/>
        </w:rPr>
      </w:pPr>
    </w:p>
    <w:p w14:paraId="6FC91DC7" w14:textId="77777777" w:rsidR="00D52415" w:rsidRPr="0082158F" w:rsidRDefault="00D52415" w:rsidP="00D52415">
      <w:pPr>
        <w:pStyle w:val="BodyA"/>
        <w:rPr>
          <w:rFonts w:asciiTheme="minorHAnsi" w:hAnsiTheme="minorHAnsi" w:cstheme="minorHAnsi"/>
          <w:i/>
          <w:iCs/>
          <w:sz w:val="18"/>
          <w:szCs w:val="18"/>
          <w:vertAlign w:val="superscript"/>
          <w:lang w:val="de-DE"/>
        </w:rPr>
      </w:pPr>
      <w:r w:rsidRPr="0082158F">
        <w:rPr>
          <w:rFonts w:asciiTheme="minorHAnsi" w:hAnsiTheme="minorHAnsi" w:cstheme="minorHAnsi"/>
          <w:b/>
          <w:bCs/>
          <w:i/>
          <w:iCs/>
          <w:sz w:val="18"/>
          <w:szCs w:val="18"/>
          <w:lang w:val="de-DE"/>
        </w:rPr>
        <w:t>Additonal authors:</w:t>
      </w:r>
      <w:r w:rsidRPr="0082158F">
        <w:rPr>
          <w:rFonts w:asciiTheme="minorHAnsi" w:hAnsiTheme="minorHAnsi" w:cstheme="minorHAnsi"/>
          <w:i/>
          <w:iCs/>
          <w:sz w:val="18"/>
          <w:szCs w:val="18"/>
          <w:lang w:val="de-DE"/>
        </w:rPr>
        <w:t xml:space="preserve"> Lei Zhao</w:t>
      </w:r>
      <w:r w:rsidRPr="0082158F">
        <w:rPr>
          <w:rFonts w:asciiTheme="minorHAnsi" w:hAnsiTheme="minorHAnsi" w:cstheme="minorHAnsi"/>
          <w:i/>
          <w:iCs/>
          <w:sz w:val="18"/>
          <w:szCs w:val="18"/>
          <w:vertAlign w:val="superscript"/>
          <w:lang w:val="de-DE"/>
        </w:rPr>
        <w:t>1</w:t>
      </w:r>
      <w:r w:rsidRPr="0082158F">
        <w:rPr>
          <w:rFonts w:asciiTheme="minorHAnsi" w:hAnsiTheme="minorHAnsi" w:cstheme="minorHAnsi"/>
          <w:i/>
          <w:iCs/>
          <w:sz w:val="18"/>
          <w:szCs w:val="18"/>
          <w:lang w:val="de-DE"/>
        </w:rPr>
        <w:t>, Ziwen Zhu</w:t>
      </w:r>
      <w:r w:rsidRPr="0082158F">
        <w:rPr>
          <w:rFonts w:asciiTheme="minorHAnsi" w:hAnsiTheme="minorHAnsi" w:cstheme="minorHAnsi"/>
          <w:i/>
          <w:iCs/>
          <w:sz w:val="18"/>
          <w:szCs w:val="18"/>
          <w:vertAlign w:val="superscript"/>
          <w:lang w:val="de-DE"/>
        </w:rPr>
        <w:t>3</w:t>
      </w:r>
      <w:r w:rsidRPr="0082158F">
        <w:rPr>
          <w:rFonts w:asciiTheme="minorHAnsi" w:hAnsiTheme="minorHAnsi" w:cstheme="minorHAnsi"/>
          <w:i/>
          <w:iCs/>
          <w:sz w:val="18"/>
          <w:szCs w:val="18"/>
          <w:lang w:val="de-DE"/>
        </w:rPr>
        <w:t>, Huaping Xiao</w:t>
      </w:r>
      <w:r w:rsidRPr="0082158F">
        <w:rPr>
          <w:rFonts w:asciiTheme="minorHAnsi" w:hAnsiTheme="minorHAnsi" w:cstheme="minorHAnsi"/>
          <w:i/>
          <w:iCs/>
          <w:sz w:val="18"/>
          <w:szCs w:val="18"/>
          <w:vertAlign w:val="superscript"/>
          <w:lang w:val="de-DE"/>
        </w:rPr>
        <w:t>2,4</w:t>
      </w:r>
      <w:r w:rsidRPr="0082158F">
        <w:rPr>
          <w:rFonts w:asciiTheme="minorHAnsi" w:hAnsiTheme="minorHAnsi" w:cstheme="minorHAnsi"/>
          <w:i/>
          <w:iCs/>
          <w:sz w:val="18"/>
          <w:szCs w:val="18"/>
          <w:lang w:val="de-DE"/>
        </w:rPr>
        <w:t>, Jacob Lee</w:t>
      </w:r>
      <w:r w:rsidRPr="0082158F">
        <w:rPr>
          <w:rFonts w:asciiTheme="minorHAnsi" w:hAnsiTheme="minorHAnsi" w:cstheme="minorHAnsi"/>
          <w:i/>
          <w:iCs/>
          <w:sz w:val="18"/>
          <w:szCs w:val="18"/>
          <w:vertAlign w:val="superscript"/>
          <w:lang w:val="de-DE"/>
        </w:rPr>
        <w:t>3</w:t>
      </w:r>
      <w:r w:rsidRPr="0082158F">
        <w:rPr>
          <w:rFonts w:asciiTheme="minorHAnsi" w:hAnsiTheme="minorHAnsi" w:cstheme="minorHAnsi"/>
          <w:i/>
          <w:iCs/>
          <w:sz w:val="18"/>
          <w:szCs w:val="18"/>
          <w:lang w:val="de-DE"/>
        </w:rPr>
        <w:t>, Joseph Schmidt</w:t>
      </w:r>
      <w:r w:rsidRPr="0082158F">
        <w:rPr>
          <w:rFonts w:asciiTheme="minorHAnsi" w:hAnsiTheme="minorHAnsi" w:cstheme="minorHAnsi"/>
          <w:i/>
          <w:iCs/>
          <w:sz w:val="18"/>
          <w:szCs w:val="18"/>
          <w:vertAlign w:val="superscript"/>
          <w:lang w:val="de-DE"/>
        </w:rPr>
        <w:t>3</w:t>
      </w:r>
      <w:r w:rsidRPr="0082158F">
        <w:rPr>
          <w:rFonts w:asciiTheme="minorHAnsi" w:hAnsiTheme="minorHAnsi" w:cstheme="minorHAnsi"/>
          <w:i/>
          <w:iCs/>
          <w:sz w:val="18"/>
          <w:szCs w:val="18"/>
          <w:lang w:val="de-DE"/>
        </w:rPr>
        <w:t>, Mark R. Wakefield</w:t>
      </w:r>
      <w:r w:rsidRPr="0082158F">
        <w:rPr>
          <w:rFonts w:asciiTheme="minorHAnsi" w:hAnsiTheme="minorHAnsi" w:cstheme="minorHAnsi"/>
          <w:i/>
          <w:iCs/>
          <w:sz w:val="18"/>
          <w:szCs w:val="18"/>
          <w:vertAlign w:val="superscript"/>
          <w:lang w:val="de-DE"/>
        </w:rPr>
        <w:t>3</w:t>
      </w:r>
      <w:r w:rsidRPr="0082158F">
        <w:rPr>
          <w:rFonts w:asciiTheme="minorHAnsi" w:hAnsiTheme="minorHAnsi" w:cstheme="minorHAnsi"/>
          <w:i/>
          <w:iCs/>
          <w:sz w:val="18"/>
          <w:szCs w:val="18"/>
          <w:lang w:val="de-DE"/>
        </w:rPr>
        <w:t>, Qian Bai</w:t>
      </w:r>
      <w:r w:rsidRPr="0082158F">
        <w:rPr>
          <w:rFonts w:asciiTheme="minorHAnsi" w:hAnsiTheme="minorHAnsi" w:cstheme="minorHAnsi"/>
          <w:i/>
          <w:iCs/>
          <w:sz w:val="18"/>
          <w:szCs w:val="18"/>
          <w:vertAlign w:val="superscript"/>
          <w:lang w:val="de-DE"/>
        </w:rPr>
        <w:t>3</w:t>
      </w:r>
      <w:r w:rsidRPr="0082158F">
        <w:rPr>
          <w:rFonts w:asciiTheme="minorHAnsi" w:hAnsiTheme="minorHAnsi" w:cstheme="minorHAnsi"/>
          <w:i/>
          <w:iCs/>
          <w:sz w:val="18"/>
          <w:szCs w:val="18"/>
          <w:lang w:val="de-DE"/>
        </w:rPr>
        <w:t>, Yujiang Fang</w:t>
      </w:r>
      <w:r w:rsidRPr="0082158F">
        <w:rPr>
          <w:rFonts w:asciiTheme="minorHAnsi" w:hAnsiTheme="minorHAnsi" w:cstheme="minorHAnsi"/>
          <w:i/>
          <w:iCs/>
          <w:sz w:val="18"/>
          <w:szCs w:val="18"/>
          <w:vertAlign w:val="superscript"/>
          <w:lang w:val="de-DE"/>
        </w:rPr>
        <w:t xml:space="preserve">2,3  </w:t>
      </w:r>
    </w:p>
    <w:p w14:paraId="11885E45" w14:textId="77777777" w:rsidR="00D52415" w:rsidRPr="0082158F" w:rsidRDefault="00D52415" w:rsidP="00D52415">
      <w:pPr>
        <w:pStyle w:val="BodyA"/>
        <w:rPr>
          <w:rFonts w:asciiTheme="minorHAnsi" w:hAnsiTheme="minorHAnsi" w:cstheme="minorHAnsi"/>
          <w:i/>
          <w:iCs/>
          <w:sz w:val="18"/>
          <w:szCs w:val="18"/>
          <w:lang w:val="de-DE"/>
        </w:rPr>
      </w:pPr>
    </w:p>
    <w:p w14:paraId="37954406" w14:textId="77777777" w:rsidR="00D52415" w:rsidRPr="0082158F" w:rsidRDefault="00D52415" w:rsidP="00D52415">
      <w:pPr>
        <w:pStyle w:val="BodyA"/>
        <w:rPr>
          <w:rFonts w:asciiTheme="minorHAnsi" w:hAnsiTheme="minorHAnsi" w:cstheme="minorHAnsi"/>
          <w:i/>
          <w:iCs/>
          <w:sz w:val="18"/>
          <w:szCs w:val="18"/>
        </w:rPr>
      </w:pPr>
      <w:r w:rsidRPr="0082158F">
        <w:rPr>
          <w:rFonts w:asciiTheme="minorHAnsi" w:hAnsiTheme="minorHAnsi" w:cstheme="minorHAnsi"/>
          <w:i/>
          <w:iCs/>
          <w:sz w:val="18"/>
          <w:szCs w:val="18"/>
          <w:vertAlign w:val="superscript"/>
        </w:rPr>
        <w:t>1</w:t>
      </w:r>
      <w:r w:rsidRPr="0082158F">
        <w:rPr>
          <w:rFonts w:asciiTheme="minorHAnsi" w:hAnsiTheme="minorHAnsi" w:cstheme="minorHAnsi"/>
          <w:i/>
          <w:iCs/>
          <w:sz w:val="18"/>
          <w:szCs w:val="18"/>
        </w:rPr>
        <w:t>Department of Respiratory Medicine, the 2</w:t>
      </w:r>
      <w:r w:rsidRPr="0082158F">
        <w:rPr>
          <w:rFonts w:asciiTheme="minorHAnsi" w:hAnsiTheme="minorHAnsi" w:cstheme="minorHAnsi"/>
          <w:i/>
          <w:iCs/>
          <w:sz w:val="18"/>
          <w:szCs w:val="18"/>
          <w:vertAlign w:val="superscript"/>
        </w:rPr>
        <w:t>nd</w:t>
      </w:r>
      <w:r w:rsidRPr="0082158F">
        <w:rPr>
          <w:rFonts w:asciiTheme="minorHAnsi" w:hAnsiTheme="minorHAnsi" w:cstheme="minorHAnsi"/>
          <w:i/>
          <w:iCs/>
          <w:sz w:val="18"/>
          <w:szCs w:val="18"/>
        </w:rPr>
        <w:t xml:space="preserve"> People’s Hospital of Hefei and Hefei Hospital Affiliated to Anhui Medical University, Hefei, P.R. China.; </w:t>
      </w:r>
      <w:r w:rsidRPr="0082158F">
        <w:rPr>
          <w:rFonts w:asciiTheme="minorHAnsi" w:hAnsiTheme="minorHAnsi" w:cstheme="minorHAnsi"/>
          <w:i/>
          <w:iCs/>
          <w:sz w:val="18"/>
          <w:szCs w:val="18"/>
          <w:vertAlign w:val="superscript"/>
        </w:rPr>
        <w:t>2</w:t>
      </w:r>
      <w:r w:rsidRPr="0082158F">
        <w:rPr>
          <w:rFonts w:asciiTheme="minorHAnsi" w:hAnsiTheme="minorHAnsi" w:cstheme="minorHAnsi"/>
          <w:i/>
          <w:iCs/>
          <w:sz w:val="18"/>
          <w:szCs w:val="18"/>
        </w:rPr>
        <w:t xml:space="preserve">The Department of Microbiology, Immunology and Pathology, Des Moines University College of Osteopathic Medicine, Des Moines, IA, 50312 ; </w:t>
      </w:r>
      <w:r w:rsidRPr="0082158F">
        <w:rPr>
          <w:rFonts w:asciiTheme="minorHAnsi" w:hAnsiTheme="minorHAnsi" w:cstheme="minorHAnsi"/>
          <w:i/>
          <w:iCs/>
          <w:sz w:val="18"/>
          <w:szCs w:val="18"/>
          <w:vertAlign w:val="superscript"/>
        </w:rPr>
        <w:t>3</w:t>
      </w:r>
      <w:r w:rsidRPr="0082158F">
        <w:rPr>
          <w:rFonts w:asciiTheme="minorHAnsi" w:hAnsiTheme="minorHAnsi" w:cstheme="minorHAnsi"/>
          <w:i/>
          <w:iCs/>
          <w:sz w:val="18"/>
          <w:szCs w:val="18"/>
        </w:rPr>
        <w:t xml:space="preserve">The Department of Surgery, University of Missouri School of Medicine, Columbia, MO, 65212; </w:t>
      </w:r>
      <w:r w:rsidRPr="0082158F">
        <w:rPr>
          <w:rFonts w:asciiTheme="minorHAnsi" w:hAnsiTheme="minorHAnsi" w:cstheme="minorHAnsi"/>
          <w:i/>
          <w:iCs/>
          <w:sz w:val="18"/>
          <w:szCs w:val="18"/>
          <w:vertAlign w:val="superscript"/>
        </w:rPr>
        <w:t>4</w:t>
      </w:r>
      <w:r w:rsidRPr="0082158F">
        <w:rPr>
          <w:rFonts w:asciiTheme="minorHAnsi" w:hAnsiTheme="minorHAnsi" w:cstheme="minorHAnsi"/>
          <w:i/>
          <w:iCs/>
          <w:sz w:val="18"/>
          <w:szCs w:val="18"/>
        </w:rPr>
        <w:t xml:space="preserve">The Affiliated Hospital of </w:t>
      </w:r>
      <w:proofErr w:type="spellStart"/>
      <w:r w:rsidRPr="0082158F">
        <w:rPr>
          <w:rFonts w:asciiTheme="minorHAnsi" w:hAnsiTheme="minorHAnsi" w:cstheme="minorHAnsi"/>
          <w:i/>
          <w:iCs/>
          <w:sz w:val="18"/>
          <w:szCs w:val="18"/>
        </w:rPr>
        <w:t>Xiangnan</w:t>
      </w:r>
      <w:proofErr w:type="spellEnd"/>
      <w:r w:rsidRPr="0082158F">
        <w:rPr>
          <w:rFonts w:asciiTheme="minorHAnsi" w:hAnsiTheme="minorHAnsi" w:cstheme="minorHAnsi"/>
          <w:i/>
          <w:iCs/>
          <w:sz w:val="18"/>
          <w:szCs w:val="18"/>
        </w:rPr>
        <w:t xml:space="preserve"> University, </w:t>
      </w:r>
      <w:proofErr w:type="spellStart"/>
      <w:r w:rsidRPr="0082158F">
        <w:rPr>
          <w:rFonts w:asciiTheme="minorHAnsi" w:hAnsiTheme="minorHAnsi" w:cstheme="minorHAnsi"/>
          <w:i/>
          <w:iCs/>
          <w:sz w:val="18"/>
          <w:szCs w:val="18"/>
        </w:rPr>
        <w:t>Chenzhou</w:t>
      </w:r>
      <w:proofErr w:type="spellEnd"/>
      <w:r w:rsidRPr="0082158F">
        <w:rPr>
          <w:rFonts w:asciiTheme="minorHAnsi" w:hAnsiTheme="minorHAnsi" w:cstheme="minorHAnsi"/>
          <w:i/>
          <w:iCs/>
          <w:sz w:val="18"/>
          <w:szCs w:val="18"/>
        </w:rPr>
        <w:t>, Hunan, China.</w:t>
      </w:r>
    </w:p>
    <w:p w14:paraId="3A4E3DE1" w14:textId="77777777" w:rsidR="009134EA" w:rsidRDefault="009134EA"/>
    <w:sectPr w:rsidR="009134EA" w:rsidSect="007825E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27027"/>
    <w:multiLevelType w:val="hybridMultilevel"/>
    <w:tmpl w:val="5064674A"/>
    <w:lvl w:ilvl="0" w:tplc="04090011">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E410A"/>
    <w:multiLevelType w:val="hybridMultilevel"/>
    <w:tmpl w:val="0DD27D7C"/>
    <w:lvl w:ilvl="0" w:tplc="6A884B5A">
      <w:start w:val="29"/>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15"/>
    <w:rsid w:val="007825E3"/>
    <w:rsid w:val="009134EA"/>
    <w:rsid w:val="00D5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B64D5"/>
  <w15:chartTrackingRefBased/>
  <w15:docId w15:val="{B60E527B-5CDF-4350-941E-6A3D87BF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52415"/>
    <w:pPr>
      <w:spacing w:after="0" w:line="240" w:lineRule="auto"/>
    </w:pPr>
    <w:rPr>
      <w:rFonts w:ascii="Helvetica" w:eastAsia="Arial Unicode MS" w:hAnsi="Helvetica" w:cs="Arial Unicode MS"/>
      <w:color w:val="000000"/>
      <w:u w:color="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1</cp:revision>
  <dcterms:created xsi:type="dcterms:W3CDTF">2020-10-19T18:42:00Z</dcterms:created>
  <dcterms:modified xsi:type="dcterms:W3CDTF">2020-10-19T18:43:00Z</dcterms:modified>
</cp:coreProperties>
</file>