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404C6" w14:textId="59F16EF4" w:rsidR="00BC38C6" w:rsidRPr="00BC38C6" w:rsidRDefault="00BC38C6" w:rsidP="00BC38C6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  <w:r w:rsidRPr="00BC38C6">
        <w:rPr>
          <w:rFonts w:eastAsia="Times New Roman" w:cstheme="minorHAnsi"/>
          <w:b/>
          <w:sz w:val="24"/>
          <w:szCs w:val="24"/>
        </w:rPr>
        <w:t>The popular vegetable asparagus’s surprising pro-tumor effect on pancreatic cancer</w:t>
      </w:r>
    </w:p>
    <w:p w14:paraId="1457E6E4" w14:textId="77777777" w:rsidR="00BC38C6" w:rsidRPr="0082158F" w:rsidRDefault="00BC38C6" w:rsidP="00BC38C6">
      <w:pPr>
        <w:pStyle w:val="ListParagraph"/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</w:rPr>
      </w:pPr>
    </w:p>
    <w:p w14:paraId="0B416CD5" w14:textId="77777777" w:rsidR="00BC38C6" w:rsidRPr="0082158F" w:rsidRDefault="00BC38C6" w:rsidP="00BC38C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82158F">
        <w:rPr>
          <w:rFonts w:eastAsia="Times New Roman" w:cstheme="minorHAnsi"/>
          <w:b/>
          <w:bCs/>
          <w:color w:val="000000"/>
          <w:sz w:val="24"/>
          <w:szCs w:val="24"/>
        </w:rPr>
        <w:t>Global Integrative Oncology: Use in Cancer Treatment &amp; Patient Management</w:t>
      </w:r>
    </w:p>
    <w:p w14:paraId="67F8DD1A" w14:textId="77777777" w:rsidR="00BC38C6" w:rsidRPr="0082158F" w:rsidRDefault="00BC38C6" w:rsidP="00BC38C6">
      <w:pPr>
        <w:rPr>
          <w:rFonts w:eastAsia="Times New Roman" w:cstheme="minorHAnsi"/>
          <w:bCs/>
          <w:sz w:val="24"/>
          <w:szCs w:val="24"/>
          <w:u w:val="single"/>
        </w:rPr>
      </w:pPr>
    </w:p>
    <w:p w14:paraId="5147115A" w14:textId="73C01E60" w:rsidR="00BC38C6" w:rsidRPr="00BC38C6" w:rsidRDefault="00BC38C6" w:rsidP="00BC38C6">
      <w:pPr>
        <w:rPr>
          <w:rFonts w:eastAsia="Times New Roman" w:cstheme="minorHAnsi"/>
          <w:b/>
          <w:sz w:val="24"/>
          <w:szCs w:val="24"/>
        </w:rPr>
      </w:pPr>
      <w:r w:rsidRPr="00BC38C6">
        <w:rPr>
          <w:rFonts w:eastAsia="Times New Roman" w:cstheme="minorHAnsi"/>
          <w:b/>
          <w:sz w:val="24"/>
          <w:szCs w:val="24"/>
        </w:rPr>
        <w:t>Background</w:t>
      </w:r>
      <w:r w:rsidRPr="00BC38C6">
        <w:rPr>
          <w:rFonts w:eastAsia="Times New Roman" w:cstheme="minorHAnsi"/>
          <w:bCs/>
          <w:sz w:val="24"/>
          <w:szCs w:val="24"/>
        </w:rPr>
        <w:t>:</w:t>
      </w:r>
      <w:r w:rsidRPr="00BC38C6">
        <w:rPr>
          <w:rFonts w:eastAsia="Times New Roman" w:cstheme="minorHAnsi"/>
          <w:sz w:val="24"/>
          <w:szCs w:val="24"/>
        </w:rPr>
        <w:t xml:space="preserve"> Pancreatic cancer is the most lethal digestive cancer and the fourth overall cause of</w:t>
      </w:r>
      <w:r w:rsidRPr="00BC38C6">
        <w:rPr>
          <w:rFonts w:eastAsia="Times New Roman" w:cstheme="minorHAnsi"/>
          <w:sz w:val="24"/>
          <w:szCs w:val="24"/>
        </w:rPr>
        <w:t xml:space="preserve"> </w:t>
      </w:r>
      <w:r w:rsidRPr="00BC38C6">
        <w:rPr>
          <w:rFonts w:eastAsia="Times New Roman" w:cstheme="minorHAnsi"/>
          <w:sz w:val="24"/>
          <w:szCs w:val="24"/>
        </w:rPr>
        <w:t xml:space="preserve">cancer death in the US. Asparagus, a widely consumed savory vegetable, is a rich source of antioxidants, saponins, vitamins, and minerals. Traditionally it has been used as a diuretic and laxative agent. In fact, it has been shown that asparagus contains many benefits such as anti-infectious and anti-diabetic properties. In recent years, it has been shown that asparagus has anti-cancer effects on endometrial adenocarcinoma, prostate cancer, breast cancer, and colon cancer. In pancreatic cancer, it has been shown to have an anti-cancer effect on the KLM1-R cell line. However, little is known about its role in the MDAPanc-28 pancreatic cancer cell line. This study was designed to investigate if asparagus extract (AE) has any effect on the growth of MDAPanc-28 pancreatic cancer cells and elucidate possible molecular mechanisms behind it. </w:t>
      </w:r>
    </w:p>
    <w:p w14:paraId="2E717A8B" w14:textId="77777777" w:rsidR="00BC38C6" w:rsidRPr="00BC38C6" w:rsidRDefault="00BC38C6" w:rsidP="00BC38C6">
      <w:pPr>
        <w:rPr>
          <w:rFonts w:eastAsia="Times New Roman" w:cstheme="minorHAnsi"/>
          <w:b/>
          <w:sz w:val="24"/>
          <w:szCs w:val="24"/>
        </w:rPr>
      </w:pPr>
      <w:r w:rsidRPr="00BC38C6">
        <w:rPr>
          <w:rFonts w:eastAsia="Times New Roman" w:cstheme="minorHAnsi"/>
          <w:b/>
          <w:sz w:val="24"/>
          <w:szCs w:val="24"/>
        </w:rPr>
        <w:t>Methods</w:t>
      </w:r>
      <w:r w:rsidRPr="00BC38C6">
        <w:rPr>
          <w:rFonts w:eastAsia="Times New Roman" w:cstheme="minorHAnsi"/>
          <w:bCs/>
          <w:sz w:val="24"/>
          <w:szCs w:val="24"/>
        </w:rPr>
        <w:t>:</w:t>
      </w:r>
      <w:r w:rsidRPr="00BC38C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C38C6">
        <w:rPr>
          <w:rFonts w:eastAsia="Times New Roman" w:cstheme="minorHAnsi"/>
          <w:sz w:val="24"/>
          <w:szCs w:val="24"/>
        </w:rPr>
        <w:t>Clonogenic</w:t>
      </w:r>
      <w:proofErr w:type="spellEnd"/>
      <w:r w:rsidRPr="00BC38C6">
        <w:rPr>
          <w:rFonts w:eastAsia="Times New Roman" w:cstheme="minorHAnsi"/>
          <w:sz w:val="24"/>
          <w:szCs w:val="24"/>
        </w:rPr>
        <w:t xml:space="preserve"> survival assay, proliferation, and caspase-3 activity kits were used to evaluate the effects of AE on cell survival, proliferation, and apoptosis of a widely used pancreatic cancer cell line, MDAPanc-28. We further investigated the possible molecular mechanisms by using RT-PCR.</w:t>
      </w:r>
    </w:p>
    <w:p w14:paraId="5276FFF6" w14:textId="77777777" w:rsidR="00BC38C6" w:rsidRPr="00BC38C6" w:rsidRDefault="00BC38C6" w:rsidP="00BC38C6">
      <w:pPr>
        <w:rPr>
          <w:rFonts w:eastAsia="Times New Roman" w:cstheme="minorHAnsi"/>
          <w:b/>
          <w:sz w:val="24"/>
          <w:szCs w:val="24"/>
        </w:rPr>
      </w:pPr>
      <w:r w:rsidRPr="00BC38C6">
        <w:rPr>
          <w:rFonts w:eastAsia="Times New Roman" w:cstheme="minorHAnsi"/>
          <w:b/>
          <w:sz w:val="24"/>
          <w:szCs w:val="24"/>
        </w:rPr>
        <w:t>Results</w:t>
      </w:r>
      <w:r w:rsidRPr="00BC38C6">
        <w:rPr>
          <w:rFonts w:eastAsia="Times New Roman" w:cstheme="minorHAnsi"/>
          <w:bCs/>
          <w:sz w:val="24"/>
          <w:szCs w:val="24"/>
        </w:rPr>
        <w:t>:</w:t>
      </w:r>
      <w:r w:rsidRPr="00BC38C6">
        <w:rPr>
          <w:rFonts w:eastAsia="Times New Roman" w:cstheme="minorHAnsi"/>
          <w:sz w:val="24"/>
          <w:szCs w:val="24"/>
        </w:rPr>
        <w:t xml:space="preserve"> The percentage of colonies and the OD value of MDAPanc-28 cells were all surprisingly increased when treated with AE. The relative caspase-3 activity in cancer cells decreased when treated with AE. The pro-proliferative effect of AE on MDAPanc-28 cells correlated with downregulation of anti-proliferative molecules P21 and P53. The anti-apoptotic effect of AE correlated with downregulation of pro-apoptotic molecule </w:t>
      </w:r>
      <w:proofErr w:type="spellStart"/>
      <w:r w:rsidRPr="00BC38C6">
        <w:rPr>
          <w:rFonts w:eastAsia="Times New Roman" w:cstheme="minorHAnsi"/>
          <w:sz w:val="24"/>
          <w:szCs w:val="24"/>
        </w:rPr>
        <w:t>Fas</w:t>
      </w:r>
      <w:proofErr w:type="spellEnd"/>
      <w:r w:rsidRPr="00BC38C6">
        <w:rPr>
          <w:rFonts w:eastAsia="Times New Roman" w:cstheme="minorHAnsi"/>
          <w:sz w:val="24"/>
          <w:szCs w:val="24"/>
        </w:rPr>
        <w:t xml:space="preserve">. </w:t>
      </w:r>
    </w:p>
    <w:p w14:paraId="3A465590" w14:textId="77777777" w:rsidR="00BC38C6" w:rsidRPr="00BC38C6" w:rsidRDefault="00BC38C6" w:rsidP="00BC38C6">
      <w:pPr>
        <w:rPr>
          <w:rFonts w:eastAsia="Times New Roman" w:cstheme="minorHAnsi"/>
          <w:sz w:val="24"/>
          <w:szCs w:val="24"/>
        </w:rPr>
      </w:pPr>
      <w:r w:rsidRPr="00BC38C6">
        <w:rPr>
          <w:rFonts w:eastAsia="Times New Roman" w:cstheme="minorHAnsi"/>
          <w:b/>
          <w:sz w:val="24"/>
          <w:szCs w:val="24"/>
        </w:rPr>
        <w:t>Conclusions</w:t>
      </w:r>
      <w:r w:rsidRPr="00BC38C6">
        <w:rPr>
          <w:rFonts w:eastAsia="Times New Roman" w:cstheme="minorHAnsi"/>
          <w:bCs/>
          <w:sz w:val="24"/>
          <w:szCs w:val="24"/>
        </w:rPr>
        <w:t>:</w:t>
      </w:r>
      <w:r w:rsidRPr="00BC38C6">
        <w:rPr>
          <w:rFonts w:eastAsia="Times New Roman" w:cstheme="minorHAnsi"/>
          <w:sz w:val="24"/>
          <w:szCs w:val="24"/>
        </w:rPr>
        <w:t xml:space="preserve"> AE exhibits a pro-tumor effect in MDAPanc-28 pancreatic cancer cells by downregulation of P21, P53, and </w:t>
      </w:r>
      <w:proofErr w:type="spellStart"/>
      <w:r w:rsidRPr="00BC38C6">
        <w:rPr>
          <w:rFonts w:eastAsia="Times New Roman" w:cstheme="minorHAnsi"/>
          <w:sz w:val="24"/>
          <w:szCs w:val="24"/>
        </w:rPr>
        <w:t>Fas</w:t>
      </w:r>
      <w:proofErr w:type="spellEnd"/>
      <w:r w:rsidRPr="00BC38C6">
        <w:rPr>
          <w:rFonts w:eastAsia="Times New Roman" w:cstheme="minorHAnsi"/>
          <w:sz w:val="24"/>
          <w:szCs w:val="24"/>
        </w:rPr>
        <w:t>. Such a study might be helpful when managing patients with pancreatic cancer.</w:t>
      </w:r>
    </w:p>
    <w:p w14:paraId="374D3CF2" w14:textId="77777777" w:rsidR="00BC38C6" w:rsidRPr="0082158F" w:rsidRDefault="00BC38C6" w:rsidP="00BC38C6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82158F">
        <w:rPr>
          <w:rFonts w:eastAsia="Times New Roman" w:cstheme="minorHAnsi"/>
          <w:b/>
          <w:bCs/>
          <w:i/>
          <w:sz w:val="18"/>
          <w:szCs w:val="18"/>
        </w:rPr>
        <w:t>Additional authors</w:t>
      </w:r>
      <w:r w:rsidRPr="0082158F">
        <w:rPr>
          <w:rFonts w:eastAsia="Times New Roman" w:cstheme="minorHAnsi"/>
          <w:i/>
          <w:sz w:val="18"/>
          <w:szCs w:val="18"/>
        </w:rPr>
        <w:t>: Xuhui Chen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1,2</w:t>
      </w:r>
      <w:r w:rsidRPr="0082158F">
        <w:rPr>
          <w:rFonts w:eastAsia="Times New Roman" w:cstheme="minorHAnsi"/>
          <w:i/>
          <w:sz w:val="18"/>
          <w:szCs w:val="18"/>
        </w:rPr>
        <w:t xml:space="preserve">, </w:t>
      </w:r>
      <w:proofErr w:type="spellStart"/>
      <w:r w:rsidRPr="0082158F">
        <w:rPr>
          <w:rFonts w:eastAsia="Times New Roman" w:cstheme="minorHAnsi"/>
          <w:i/>
          <w:sz w:val="18"/>
          <w:szCs w:val="18"/>
        </w:rPr>
        <w:t>Ziwen</w:t>
      </w:r>
      <w:proofErr w:type="spellEnd"/>
      <w:r w:rsidRPr="0082158F">
        <w:rPr>
          <w:rFonts w:eastAsia="Times New Roman" w:cstheme="minorHAnsi"/>
          <w:i/>
          <w:sz w:val="18"/>
          <w:szCs w:val="18"/>
        </w:rPr>
        <w:t xml:space="preserve"> Zhu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 xml:space="preserve">, </w:t>
      </w:r>
      <w:proofErr w:type="spellStart"/>
      <w:r w:rsidRPr="0082158F">
        <w:rPr>
          <w:rFonts w:eastAsia="Times New Roman" w:cstheme="minorHAnsi"/>
          <w:i/>
          <w:sz w:val="18"/>
          <w:szCs w:val="18"/>
        </w:rPr>
        <w:t>Tianru</w:t>
      </w:r>
      <w:proofErr w:type="spellEnd"/>
      <w:r w:rsidRPr="0082158F">
        <w:rPr>
          <w:rFonts w:eastAsia="Times New Roman" w:cstheme="minorHAnsi"/>
          <w:i/>
          <w:sz w:val="18"/>
          <w:szCs w:val="18"/>
        </w:rPr>
        <w:t xml:space="preserve"> Shi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1</w:t>
      </w:r>
      <w:r w:rsidRPr="0082158F">
        <w:rPr>
          <w:rFonts w:eastAsia="Times New Roman" w:cstheme="minorHAnsi"/>
          <w:i/>
          <w:sz w:val="18"/>
          <w:szCs w:val="18"/>
        </w:rPr>
        <w:t>, Jacob Lee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>, Aldo Dominguez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>, Joseph Schmidt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>, Qian Bai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>, Mark R. Wakefield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 xml:space="preserve">, </w:t>
      </w:r>
      <w:proofErr w:type="spellStart"/>
      <w:r w:rsidRPr="0082158F">
        <w:rPr>
          <w:rFonts w:eastAsia="Times New Roman" w:cstheme="minorHAnsi"/>
          <w:i/>
          <w:sz w:val="18"/>
          <w:szCs w:val="18"/>
        </w:rPr>
        <w:t>Yujiang</w:t>
      </w:r>
      <w:proofErr w:type="spellEnd"/>
      <w:r w:rsidRPr="0082158F">
        <w:rPr>
          <w:rFonts w:eastAsia="Times New Roman" w:cstheme="minorHAnsi"/>
          <w:i/>
          <w:sz w:val="18"/>
          <w:szCs w:val="18"/>
        </w:rPr>
        <w:t xml:space="preserve"> Fang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1,3</w:t>
      </w:r>
      <w:r w:rsidRPr="0082158F">
        <w:rPr>
          <w:rFonts w:eastAsia="Times New Roman" w:cstheme="minorHAnsi"/>
          <w:i/>
          <w:sz w:val="18"/>
          <w:szCs w:val="18"/>
        </w:rPr>
        <w:t xml:space="preserve"> </w:t>
      </w:r>
    </w:p>
    <w:p w14:paraId="2927DC45" w14:textId="77777777" w:rsidR="00BC38C6" w:rsidRPr="0082158F" w:rsidRDefault="00BC38C6" w:rsidP="00BC38C6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</w:p>
    <w:p w14:paraId="7939FA10" w14:textId="77777777" w:rsidR="00BC38C6" w:rsidRPr="0082158F" w:rsidRDefault="00BC38C6" w:rsidP="00BC38C6">
      <w:pPr>
        <w:spacing w:after="0" w:line="240" w:lineRule="auto"/>
        <w:rPr>
          <w:rFonts w:eastAsia="Times New Roman" w:cstheme="minorHAnsi"/>
          <w:i/>
          <w:sz w:val="18"/>
          <w:szCs w:val="18"/>
        </w:rPr>
      </w:pPr>
      <w:r w:rsidRPr="0082158F">
        <w:rPr>
          <w:rFonts w:eastAsia="Times New Roman" w:cstheme="minorHAnsi"/>
          <w:i/>
          <w:sz w:val="18"/>
          <w:szCs w:val="18"/>
          <w:vertAlign w:val="superscript"/>
        </w:rPr>
        <w:t>1</w:t>
      </w:r>
      <w:r w:rsidRPr="0082158F">
        <w:rPr>
          <w:rFonts w:eastAsia="Times New Roman" w:cstheme="minorHAnsi"/>
          <w:i/>
          <w:sz w:val="18"/>
          <w:szCs w:val="18"/>
        </w:rPr>
        <w:t xml:space="preserve">The Department of Microbiology, Immunology, Des Moines University College of Osteopathic Medicine, Des Moines, IA, 50312; 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2</w:t>
      </w:r>
      <w:r w:rsidRPr="0082158F">
        <w:rPr>
          <w:rFonts w:eastAsia="Times New Roman" w:cstheme="minorHAnsi"/>
          <w:i/>
          <w:sz w:val="18"/>
          <w:szCs w:val="18"/>
          <w:highlight w:val="white"/>
        </w:rPr>
        <w:t xml:space="preserve">Department of Surgery, </w:t>
      </w:r>
      <w:proofErr w:type="spellStart"/>
      <w:r w:rsidRPr="0082158F">
        <w:rPr>
          <w:rFonts w:eastAsia="Times New Roman" w:cstheme="minorHAnsi"/>
          <w:i/>
          <w:sz w:val="18"/>
          <w:szCs w:val="18"/>
          <w:highlight w:val="white"/>
        </w:rPr>
        <w:t>Luohu</w:t>
      </w:r>
      <w:proofErr w:type="spellEnd"/>
      <w:r w:rsidRPr="0082158F">
        <w:rPr>
          <w:rFonts w:eastAsia="Times New Roman" w:cstheme="minorHAnsi"/>
          <w:i/>
          <w:sz w:val="18"/>
          <w:szCs w:val="18"/>
          <w:highlight w:val="white"/>
        </w:rPr>
        <w:t xml:space="preserve"> Hospital, Shenzhen, Guangdong 518000, P.R. China</w:t>
      </w:r>
      <w:r w:rsidRPr="0082158F">
        <w:rPr>
          <w:rFonts w:eastAsia="Times New Roman" w:cstheme="minorHAnsi"/>
          <w:i/>
          <w:sz w:val="18"/>
          <w:szCs w:val="18"/>
        </w:rPr>
        <w:t xml:space="preserve">; </w:t>
      </w:r>
      <w:r w:rsidRPr="0082158F">
        <w:rPr>
          <w:rFonts w:eastAsia="Times New Roman" w:cstheme="minorHAnsi"/>
          <w:i/>
          <w:sz w:val="18"/>
          <w:szCs w:val="18"/>
          <w:vertAlign w:val="superscript"/>
        </w:rPr>
        <w:t>3</w:t>
      </w:r>
      <w:r w:rsidRPr="0082158F">
        <w:rPr>
          <w:rFonts w:eastAsia="Times New Roman" w:cstheme="minorHAnsi"/>
          <w:i/>
          <w:sz w:val="18"/>
          <w:szCs w:val="18"/>
        </w:rPr>
        <w:t>The Department of Surgery, University of Missouri School of Medicine, Columbia, MO, 65212</w:t>
      </w:r>
    </w:p>
    <w:p w14:paraId="6BCDC7BF" w14:textId="72CDF611" w:rsidR="009134EA" w:rsidRPr="00290B8B" w:rsidRDefault="009134EA">
      <w:pPr>
        <w:rPr>
          <w:rFonts w:eastAsia="Times New Roman" w:cstheme="minorHAnsi"/>
          <w:iCs/>
          <w:sz w:val="20"/>
          <w:szCs w:val="20"/>
        </w:rPr>
      </w:pPr>
    </w:p>
    <w:sectPr w:rsidR="009134EA" w:rsidRPr="00290B8B" w:rsidSect="007825E3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A4467"/>
    <w:multiLevelType w:val="hybridMultilevel"/>
    <w:tmpl w:val="E7D8EE28"/>
    <w:lvl w:ilvl="0" w:tplc="04090011">
      <w:start w:val="4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E410A"/>
    <w:multiLevelType w:val="hybridMultilevel"/>
    <w:tmpl w:val="0DD27D7C"/>
    <w:lvl w:ilvl="0" w:tplc="6A884B5A">
      <w:start w:val="29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C6"/>
    <w:rsid w:val="00290B8B"/>
    <w:rsid w:val="007825E3"/>
    <w:rsid w:val="009134EA"/>
    <w:rsid w:val="00BC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88FA2"/>
  <w15:chartTrackingRefBased/>
  <w15:docId w15:val="{4C893A72-D391-4164-96F9-7929130D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Freer</dc:creator>
  <cp:keywords/>
  <dc:description/>
  <cp:lastModifiedBy>Jessica Freer</cp:lastModifiedBy>
  <cp:revision>2</cp:revision>
  <dcterms:created xsi:type="dcterms:W3CDTF">2020-10-19T18:40:00Z</dcterms:created>
  <dcterms:modified xsi:type="dcterms:W3CDTF">2020-10-19T18:41:00Z</dcterms:modified>
</cp:coreProperties>
</file>