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75E0" w14:textId="44966ABE" w:rsidR="00356779" w:rsidRPr="00356779" w:rsidRDefault="00356779" w:rsidP="00356779">
      <w:pPr>
        <w:spacing w:after="0" w:line="240" w:lineRule="auto"/>
        <w:ind w:left="360"/>
        <w:jc w:val="center"/>
        <w:rPr>
          <w:rFonts w:asciiTheme="majorHAnsi" w:hAnsiTheme="majorHAnsi" w:cstheme="majorHAnsi"/>
          <w:b/>
          <w:sz w:val="24"/>
          <w:szCs w:val="24"/>
        </w:rPr>
      </w:pPr>
      <w:r>
        <w:rPr>
          <w:rFonts w:asciiTheme="majorHAnsi" w:hAnsiTheme="majorHAnsi" w:cstheme="majorHAnsi"/>
          <w:b/>
          <w:color w:val="000000"/>
          <w:sz w:val="24"/>
          <w:szCs w:val="24"/>
        </w:rPr>
        <w:t>4)</w:t>
      </w:r>
      <w:r w:rsidRPr="00356779">
        <w:rPr>
          <w:rFonts w:asciiTheme="majorHAnsi" w:hAnsiTheme="majorHAnsi" w:cstheme="majorHAnsi"/>
          <w:b/>
          <w:color w:val="000000"/>
          <w:sz w:val="24"/>
          <w:szCs w:val="24"/>
        </w:rPr>
        <w:t xml:space="preserve"> </w:t>
      </w:r>
      <w:r w:rsidRPr="00356779">
        <w:rPr>
          <w:rFonts w:asciiTheme="majorHAnsi" w:hAnsiTheme="majorHAnsi" w:cstheme="majorHAnsi"/>
          <w:b/>
          <w:sz w:val="24"/>
          <w:szCs w:val="24"/>
        </w:rPr>
        <w:t xml:space="preserve"> Safety evaluation of traditional medicines in Tanzania.</w:t>
      </w:r>
    </w:p>
    <w:p w14:paraId="77FDF820" w14:textId="77777777" w:rsidR="00356779" w:rsidRPr="008C2847" w:rsidRDefault="00356779" w:rsidP="00356779">
      <w:pPr>
        <w:pStyle w:val="ListParagraph"/>
        <w:spacing w:after="0" w:line="240" w:lineRule="auto"/>
        <w:contextualSpacing w:val="0"/>
        <w:rPr>
          <w:rFonts w:asciiTheme="majorHAnsi" w:hAnsiTheme="majorHAnsi" w:cstheme="majorHAnsi"/>
          <w:b/>
          <w:sz w:val="24"/>
          <w:szCs w:val="24"/>
        </w:rPr>
      </w:pPr>
    </w:p>
    <w:p w14:paraId="6524D716" w14:textId="77777777" w:rsidR="00356779" w:rsidRPr="008C2847" w:rsidRDefault="00356779" w:rsidP="00356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HAnsi" w:eastAsia="Calibri" w:hAnsiTheme="majorHAnsi" w:cstheme="majorHAnsi"/>
          <w:b/>
          <w:sz w:val="24"/>
          <w:szCs w:val="24"/>
        </w:rPr>
      </w:pPr>
      <w:r w:rsidRPr="008C2847">
        <w:rPr>
          <w:rFonts w:asciiTheme="majorHAnsi" w:hAnsiTheme="majorHAnsi" w:cstheme="majorHAnsi"/>
          <w:b/>
          <w:sz w:val="24"/>
          <w:szCs w:val="24"/>
        </w:rPr>
        <w:t>Pharmacology of Traditional Medicine</w:t>
      </w:r>
    </w:p>
    <w:p w14:paraId="515C63BF" w14:textId="77777777" w:rsidR="00356779" w:rsidRPr="008C2847" w:rsidRDefault="00356779" w:rsidP="00356779">
      <w:pPr>
        <w:pStyle w:val="ListParagraph"/>
        <w:ind w:left="0"/>
        <w:rPr>
          <w:rFonts w:asciiTheme="majorHAnsi" w:hAnsiTheme="majorHAnsi" w:cstheme="majorHAnsi"/>
          <w:sz w:val="24"/>
          <w:szCs w:val="24"/>
        </w:rPr>
      </w:pPr>
    </w:p>
    <w:p w14:paraId="606B80C9" w14:textId="77777777" w:rsidR="00356779" w:rsidRPr="00EF1683" w:rsidRDefault="00356779" w:rsidP="00356779">
      <w:pPr>
        <w:jc w:val="both"/>
        <w:rPr>
          <w:rFonts w:asciiTheme="majorHAnsi" w:hAnsiTheme="majorHAnsi" w:cstheme="majorHAnsi"/>
          <w:sz w:val="24"/>
          <w:szCs w:val="24"/>
        </w:rPr>
      </w:pPr>
      <w:r w:rsidRPr="00EF1683">
        <w:rPr>
          <w:rFonts w:asciiTheme="majorHAnsi" w:hAnsiTheme="majorHAnsi" w:cstheme="majorHAnsi"/>
          <w:b/>
          <w:sz w:val="24"/>
          <w:szCs w:val="24"/>
        </w:rPr>
        <w:t>Background</w:t>
      </w:r>
      <w:r w:rsidRPr="00EF1683">
        <w:rPr>
          <w:rFonts w:asciiTheme="majorHAnsi" w:hAnsiTheme="majorHAnsi" w:cstheme="majorHAnsi"/>
          <w:bCs/>
          <w:sz w:val="24"/>
          <w:szCs w:val="24"/>
        </w:rPr>
        <w:t>:</w:t>
      </w:r>
      <w:r w:rsidRPr="00EF1683">
        <w:rPr>
          <w:rFonts w:asciiTheme="majorHAnsi" w:hAnsiTheme="majorHAnsi" w:cstheme="majorHAnsi"/>
          <w:b/>
          <w:sz w:val="24"/>
          <w:szCs w:val="24"/>
        </w:rPr>
        <w:t xml:space="preserve"> </w:t>
      </w:r>
      <w:r w:rsidRPr="00EF1683">
        <w:rPr>
          <w:rFonts w:asciiTheme="majorHAnsi" w:hAnsiTheme="majorHAnsi" w:cstheme="majorHAnsi"/>
          <w:sz w:val="24"/>
          <w:szCs w:val="24"/>
        </w:rPr>
        <w:t xml:space="preserve">Tanzania has over 12,000 plant species, fauna and marine resources of medicinal values that have been used in preparation of traditional medicines for diagnosing, preventing, </w:t>
      </w:r>
      <w:proofErr w:type="gramStart"/>
      <w:r w:rsidRPr="00EF1683">
        <w:rPr>
          <w:rFonts w:asciiTheme="majorHAnsi" w:hAnsiTheme="majorHAnsi" w:cstheme="majorHAnsi"/>
          <w:sz w:val="24"/>
          <w:szCs w:val="24"/>
        </w:rPr>
        <w:t>managing</w:t>
      </w:r>
      <w:proofErr w:type="gramEnd"/>
      <w:r w:rsidRPr="00EF1683">
        <w:rPr>
          <w:rFonts w:asciiTheme="majorHAnsi" w:hAnsiTheme="majorHAnsi" w:cstheme="majorHAnsi"/>
          <w:sz w:val="24"/>
          <w:szCs w:val="24"/>
        </w:rPr>
        <w:t xml:space="preserve"> or eliminating various diseases including cancers.</w:t>
      </w:r>
    </w:p>
    <w:p w14:paraId="1738762A" w14:textId="77777777" w:rsidR="00356779" w:rsidRPr="00EF1683" w:rsidRDefault="00356779" w:rsidP="00356779">
      <w:pPr>
        <w:jc w:val="both"/>
        <w:rPr>
          <w:rFonts w:asciiTheme="majorHAnsi" w:hAnsiTheme="majorHAnsi" w:cstheme="majorHAnsi"/>
          <w:sz w:val="24"/>
          <w:szCs w:val="24"/>
        </w:rPr>
      </w:pPr>
      <w:r w:rsidRPr="00EF1683">
        <w:rPr>
          <w:rFonts w:asciiTheme="majorHAnsi" w:hAnsiTheme="majorHAnsi" w:cstheme="majorHAnsi"/>
          <w:sz w:val="24"/>
          <w:szCs w:val="24"/>
        </w:rPr>
        <w:t xml:space="preserve">Safety, </w:t>
      </w:r>
      <w:proofErr w:type="gramStart"/>
      <w:r w:rsidRPr="00EF1683">
        <w:rPr>
          <w:rFonts w:asciiTheme="majorHAnsi" w:hAnsiTheme="majorHAnsi" w:cstheme="majorHAnsi"/>
          <w:sz w:val="24"/>
          <w:szCs w:val="24"/>
        </w:rPr>
        <w:t>quality</w:t>
      </w:r>
      <w:proofErr w:type="gramEnd"/>
      <w:r w:rsidRPr="00EF1683">
        <w:rPr>
          <w:rFonts w:asciiTheme="majorHAnsi" w:hAnsiTheme="majorHAnsi" w:cstheme="majorHAnsi"/>
          <w:sz w:val="24"/>
          <w:szCs w:val="24"/>
        </w:rPr>
        <w:t xml:space="preserve"> and efficacy of traditional medicine in the market has been an issue of concern as 60% of population depends on it.</w:t>
      </w:r>
    </w:p>
    <w:p w14:paraId="6C19E63F" w14:textId="77777777" w:rsidR="00356779" w:rsidRPr="00EF1683" w:rsidRDefault="00356779" w:rsidP="00356779">
      <w:pPr>
        <w:jc w:val="both"/>
        <w:rPr>
          <w:rFonts w:asciiTheme="majorHAnsi" w:hAnsiTheme="majorHAnsi" w:cstheme="majorHAnsi"/>
          <w:sz w:val="24"/>
          <w:szCs w:val="24"/>
        </w:rPr>
      </w:pPr>
      <w:r w:rsidRPr="00EF1683">
        <w:rPr>
          <w:rFonts w:asciiTheme="majorHAnsi" w:hAnsiTheme="majorHAnsi" w:cstheme="majorHAnsi"/>
          <w:b/>
          <w:sz w:val="24"/>
          <w:szCs w:val="24"/>
        </w:rPr>
        <w:t>Method</w:t>
      </w:r>
      <w:r w:rsidRPr="00EF1683">
        <w:rPr>
          <w:rFonts w:asciiTheme="majorHAnsi" w:hAnsiTheme="majorHAnsi" w:cstheme="majorHAnsi"/>
          <w:bCs/>
          <w:sz w:val="24"/>
          <w:szCs w:val="24"/>
        </w:rPr>
        <w:t>:</w:t>
      </w:r>
      <w:r w:rsidRPr="00EF1683">
        <w:rPr>
          <w:rFonts w:asciiTheme="majorHAnsi" w:hAnsiTheme="majorHAnsi" w:cstheme="majorHAnsi"/>
          <w:sz w:val="24"/>
          <w:szCs w:val="24"/>
        </w:rPr>
        <w:t xml:space="preserve"> In 2017 the Traditional and Alternative Health Practice Council started evaluating and registering Traditional medicines (</w:t>
      </w:r>
      <w:proofErr w:type="spellStart"/>
      <w:r w:rsidRPr="00EF1683">
        <w:rPr>
          <w:rFonts w:asciiTheme="majorHAnsi" w:hAnsiTheme="majorHAnsi" w:cstheme="majorHAnsi"/>
          <w:i/>
          <w:sz w:val="24"/>
          <w:szCs w:val="24"/>
        </w:rPr>
        <w:t>materia</w:t>
      </w:r>
      <w:proofErr w:type="spellEnd"/>
      <w:r w:rsidRPr="00EF1683">
        <w:rPr>
          <w:rFonts w:asciiTheme="majorHAnsi" w:hAnsiTheme="majorHAnsi" w:cstheme="majorHAnsi"/>
          <w:i/>
          <w:sz w:val="24"/>
          <w:szCs w:val="24"/>
        </w:rPr>
        <w:t xml:space="preserve"> medica</w:t>
      </w:r>
      <w:r w:rsidRPr="00EF1683">
        <w:rPr>
          <w:rFonts w:asciiTheme="majorHAnsi" w:hAnsiTheme="majorHAnsi" w:cstheme="majorHAnsi"/>
          <w:sz w:val="24"/>
          <w:szCs w:val="24"/>
        </w:rPr>
        <w:t xml:space="preserve"> category II) based on safety profile as established through analytical processes. Recently twenty-three (23) traditional medicines have been registered in Tanzania, two of them have enough </w:t>
      </w:r>
      <w:proofErr w:type="spellStart"/>
      <w:r w:rsidRPr="00EF1683">
        <w:rPr>
          <w:rFonts w:asciiTheme="majorHAnsi" w:hAnsiTheme="majorHAnsi" w:cstheme="majorHAnsi"/>
          <w:sz w:val="24"/>
          <w:szCs w:val="24"/>
        </w:rPr>
        <w:t>ethno</w:t>
      </w:r>
      <w:proofErr w:type="spellEnd"/>
      <w:r w:rsidRPr="00EF1683">
        <w:rPr>
          <w:rFonts w:asciiTheme="majorHAnsi" w:hAnsiTheme="majorHAnsi" w:cstheme="majorHAnsi"/>
          <w:sz w:val="24"/>
          <w:szCs w:val="24"/>
        </w:rPr>
        <w:t xml:space="preserve"> medical information on   anticancer activities. </w:t>
      </w:r>
    </w:p>
    <w:p w14:paraId="38A2F98C" w14:textId="77777777" w:rsidR="00356779" w:rsidRPr="00EF1683" w:rsidRDefault="00356779" w:rsidP="00356779">
      <w:pPr>
        <w:jc w:val="both"/>
        <w:rPr>
          <w:rFonts w:asciiTheme="majorHAnsi" w:hAnsiTheme="majorHAnsi" w:cstheme="majorHAnsi"/>
          <w:b/>
          <w:bCs/>
          <w:sz w:val="24"/>
          <w:szCs w:val="24"/>
        </w:rPr>
      </w:pPr>
      <w:r w:rsidRPr="00EF1683">
        <w:rPr>
          <w:rFonts w:asciiTheme="majorHAnsi" w:hAnsiTheme="majorHAnsi" w:cstheme="majorHAnsi"/>
          <w:b/>
          <w:sz w:val="24"/>
          <w:szCs w:val="24"/>
        </w:rPr>
        <w:t>Analysis</w:t>
      </w:r>
      <w:r w:rsidRPr="00EF1683">
        <w:rPr>
          <w:rFonts w:asciiTheme="majorHAnsi" w:hAnsiTheme="majorHAnsi" w:cstheme="majorHAnsi"/>
          <w:bCs/>
          <w:sz w:val="24"/>
          <w:szCs w:val="24"/>
        </w:rPr>
        <w:t>:</w:t>
      </w:r>
      <w:r w:rsidRPr="00EF1683">
        <w:rPr>
          <w:rFonts w:asciiTheme="majorHAnsi" w:hAnsiTheme="majorHAnsi" w:cstheme="majorHAnsi"/>
          <w:sz w:val="24"/>
          <w:szCs w:val="24"/>
        </w:rPr>
        <w:t xml:space="preserve"> For traditional medicines to be registered </w:t>
      </w:r>
      <w:proofErr w:type="gramStart"/>
      <w:r w:rsidRPr="00EF1683">
        <w:rPr>
          <w:rFonts w:asciiTheme="majorHAnsi" w:hAnsiTheme="majorHAnsi" w:cstheme="majorHAnsi"/>
          <w:sz w:val="24"/>
          <w:szCs w:val="24"/>
        </w:rPr>
        <w:t>have to</w:t>
      </w:r>
      <w:proofErr w:type="gramEnd"/>
      <w:r w:rsidRPr="00EF1683">
        <w:rPr>
          <w:rFonts w:asciiTheme="majorHAnsi" w:hAnsiTheme="majorHAnsi" w:cstheme="majorHAnsi"/>
          <w:sz w:val="24"/>
          <w:szCs w:val="24"/>
        </w:rPr>
        <w:t xml:space="preserve"> go through different process such as plant identification, organoleptic properties, lethal components, heavy metals, pesticides, mycotoxins and microbial contamination screening under appropriate laboratory techniques. Finally, Traditional medicines registration committee approves and if the Council satisfies issue a traditional medicine certificate of registration.</w:t>
      </w:r>
    </w:p>
    <w:p w14:paraId="5F4C30AC" w14:textId="77777777" w:rsidR="00356779" w:rsidRPr="00EF1683" w:rsidRDefault="00356779" w:rsidP="00356779">
      <w:pPr>
        <w:jc w:val="both"/>
        <w:rPr>
          <w:rFonts w:asciiTheme="majorHAnsi" w:hAnsiTheme="majorHAnsi" w:cstheme="majorHAnsi"/>
          <w:sz w:val="24"/>
          <w:szCs w:val="24"/>
        </w:rPr>
      </w:pPr>
      <w:r w:rsidRPr="00EF1683">
        <w:rPr>
          <w:rFonts w:asciiTheme="majorHAnsi" w:hAnsiTheme="majorHAnsi" w:cstheme="majorHAnsi"/>
          <w:b/>
          <w:bCs/>
          <w:sz w:val="24"/>
          <w:szCs w:val="24"/>
        </w:rPr>
        <w:t>Results</w:t>
      </w:r>
      <w:r w:rsidRPr="00EF1683">
        <w:rPr>
          <w:rFonts w:asciiTheme="majorHAnsi" w:hAnsiTheme="majorHAnsi" w:cstheme="majorHAnsi"/>
          <w:bCs/>
          <w:sz w:val="24"/>
          <w:szCs w:val="24"/>
        </w:rPr>
        <w:t>:</w:t>
      </w:r>
      <w:r w:rsidRPr="00EF1683">
        <w:rPr>
          <w:rFonts w:asciiTheme="majorHAnsi" w:hAnsiTheme="majorHAnsi" w:cstheme="majorHAnsi"/>
          <w:sz w:val="24"/>
          <w:szCs w:val="24"/>
        </w:rPr>
        <w:t xml:space="preserve"> The prevalence of contamination on microbiology and mycology analysis based on assessment that was done on May 2019 for 21 products was found as follows; </w:t>
      </w:r>
      <w:r w:rsidRPr="00EF1683">
        <w:rPr>
          <w:rFonts w:asciiTheme="majorHAnsi" w:hAnsiTheme="majorHAnsi" w:cstheme="majorHAnsi"/>
          <w:i/>
          <w:sz w:val="24"/>
          <w:szCs w:val="24"/>
        </w:rPr>
        <w:t xml:space="preserve">Staphylococcus </w:t>
      </w:r>
      <w:proofErr w:type="spellStart"/>
      <w:r w:rsidRPr="00EF1683">
        <w:rPr>
          <w:rFonts w:asciiTheme="majorHAnsi" w:hAnsiTheme="majorHAnsi" w:cstheme="majorHAnsi"/>
          <w:i/>
          <w:sz w:val="24"/>
          <w:szCs w:val="24"/>
        </w:rPr>
        <w:t>spp</w:t>
      </w:r>
      <w:proofErr w:type="spellEnd"/>
      <w:r w:rsidRPr="00EF1683">
        <w:rPr>
          <w:rFonts w:asciiTheme="majorHAnsi" w:hAnsiTheme="majorHAnsi" w:cstheme="majorHAnsi"/>
          <w:sz w:val="24"/>
          <w:szCs w:val="24"/>
        </w:rPr>
        <w:t xml:space="preserve"> (10%), </w:t>
      </w:r>
      <w:r w:rsidRPr="00EF1683">
        <w:rPr>
          <w:rFonts w:asciiTheme="majorHAnsi" w:hAnsiTheme="majorHAnsi" w:cstheme="majorHAnsi"/>
          <w:i/>
          <w:sz w:val="24"/>
          <w:szCs w:val="24"/>
        </w:rPr>
        <w:t>Escherichia coli</w:t>
      </w:r>
      <w:r w:rsidRPr="00EF1683">
        <w:rPr>
          <w:rFonts w:asciiTheme="majorHAnsi" w:hAnsiTheme="majorHAnsi" w:cstheme="majorHAnsi"/>
          <w:sz w:val="24"/>
          <w:szCs w:val="24"/>
        </w:rPr>
        <w:t xml:space="preserve"> (15%), Total Plate Count Aerobic Bacteria (35%) and fungi/molds (20%) and 48% were approve for registration.</w:t>
      </w:r>
    </w:p>
    <w:p w14:paraId="08F414E6" w14:textId="77777777" w:rsidR="00356779" w:rsidRPr="00EF1683" w:rsidRDefault="00356779" w:rsidP="00356779">
      <w:pPr>
        <w:jc w:val="both"/>
        <w:rPr>
          <w:rFonts w:asciiTheme="majorHAnsi" w:hAnsiTheme="majorHAnsi" w:cstheme="majorHAnsi"/>
          <w:sz w:val="24"/>
          <w:szCs w:val="24"/>
        </w:rPr>
      </w:pPr>
      <w:r w:rsidRPr="00EF1683">
        <w:rPr>
          <w:rFonts w:asciiTheme="majorHAnsi" w:hAnsiTheme="majorHAnsi" w:cstheme="majorHAnsi"/>
          <w:b/>
          <w:sz w:val="24"/>
          <w:szCs w:val="24"/>
        </w:rPr>
        <w:t>Conclusion</w:t>
      </w:r>
      <w:r w:rsidRPr="00EF1683">
        <w:rPr>
          <w:rFonts w:asciiTheme="majorHAnsi" w:hAnsiTheme="majorHAnsi" w:cstheme="majorHAnsi"/>
          <w:bCs/>
          <w:sz w:val="24"/>
          <w:szCs w:val="24"/>
        </w:rPr>
        <w:t>:</w:t>
      </w:r>
      <w:r w:rsidRPr="00EF1683">
        <w:rPr>
          <w:rFonts w:asciiTheme="majorHAnsi" w:hAnsiTheme="majorHAnsi" w:cstheme="majorHAnsi"/>
          <w:b/>
          <w:sz w:val="24"/>
          <w:szCs w:val="24"/>
        </w:rPr>
        <w:t xml:space="preserve"> </w:t>
      </w:r>
      <w:r w:rsidRPr="00EF1683">
        <w:rPr>
          <w:rFonts w:asciiTheme="majorHAnsi" w:hAnsiTheme="majorHAnsi" w:cstheme="majorHAnsi"/>
          <w:sz w:val="24"/>
          <w:szCs w:val="24"/>
        </w:rPr>
        <w:t>Traditional health practitioners have made considerable efforts to improve their practices and products; however, there are some challenges to be addressed including insufficient safety, quality and efficacy, protection of intellectual property rights and indigenous knowledge and improving local production area for traditional medicines.</w:t>
      </w:r>
    </w:p>
    <w:p w14:paraId="16D269F0" w14:textId="77777777" w:rsidR="00356779" w:rsidRPr="008C2847" w:rsidRDefault="00356779" w:rsidP="00356779">
      <w:pPr>
        <w:jc w:val="both"/>
        <w:rPr>
          <w:rFonts w:asciiTheme="majorHAnsi" w:hAnsiTheme="majorHAnsi" w:cstheme="majorHAnsi"/>
          <w:sz w:val="16"/>
          <w:szCs w:val="16"/>
        </w:rPr>
      </w:pPr>
      <w:r w:rsidRPr="008C2847">
        <w:rPr>
          <w:rFonts w:asciiTheme="majorHAnsi" w:hAnsiTheme="majorHAnsi" w:cstheme="majorHAnsi"/>
          <w:sz w:val="16"/>
          <w:szCs w:val="16"/>
        </w:rPr>
        <w:t>Additional authors: Marko Hingi</w:t>
      </w:r>
      <w:r w:rsidRPr="008C2847">
        <w:rPr>
          <w:rFonts w:asciiTheme="majorHAnsi" w:hAnsiTheme="majorHAnsi" w:cstheme="majorHAnsi"/>
          <w:sz w:val="16"/>
          <w:szCs w:val="16"/>
          <w:vertAlign w:val="superscript"/>
        </w:rPr>
        <w:t>1</w:t>
      </w:r>
      <w:r w:rsidRPr="008C2847">
        <w:rPr>
          <w:rFonts w:asciiTheme="majorHAnsi" w:hAnsiTheme="majorHAnsi" w:cstheme="majorHAnsi"/>
          <w:sz w:val="16"/>
          <w:szCs w:val="16"/>
        </w:rPr>
        <w:t xml:space="preserve">, </w:t>
      </w:r>
      <w:proofErr w:type="spellStart"/>
      <w:r w:rsidRPr="008C2847">
        <w:rPr>
          <w:rFonts w:asciiTheme="majorHAnsi" w:hAnsiTheme="majorHAnsi" w:cstheme="majorHAnsi"/>
          <w:sz w:val="16"/>
          <w:szCs w:val="16"/>
        </w:rPr>
        <w:t>Eleonorah</w:t>
      </w:r>
      <w:proofErr w:type="spellEnd"/>
      <w:r w:rsidRPr="008C2847">
        <w:rPr>
          <w:rFonts w:asciiTheme="majorHAnsi" w:hAnsiTheme="majorHAnsi" w:cstheme="majorHAnsi"/>
          <w:sz w:val="16"/>
          <w:szCs w:val="16"/>
        </w:rPr>
        <w:t xml:space="preserve"> Erio</w:t>
      </w:r>
      <w:r w:rsidRPr="008C2847">
        <w:rPr>
          <w:rFonts w:asciiTheme="majorHAnsi" w:hAnsiTheme="majorHAnsi" w:cstheme="majorHAnsi"/>
          <w:sz w:val="16"/>
          <w:szCs w:val="16"/>
          <w:vertAlign w:val="superscript"/>
        </w:rPr>
        <w:t>1</w:t>
      </w:r>
      <w:r w:rsidRPr="008C2847">
        <w:rPr>
          <w:rFonts w:asciiTheme="majorHAnsi" w:hAnsiTheme="majorHAnsi" w:cstheme="majorHAnsi"/>
          <w:sz w:val="16"/>
          <w:szCs w:val="16"/>
        </w:rPr>
        <w:t>, Lucy Mziray</w:t>
      </w:r>
      <w:r w:rsidRPr="008C2847">
        <w:rPr>
          <w:rFonts w:asciiTheme="majorHAnsi" w:hAnsiTheme="majorHAnsi" w:cstheme="majorHAnsi"/>
          <w:sz w:val="16"/>
          <w:szCs w:val="16"/>
          <w:vertAlign w:val="superscript"/>
        </w:rPr>
        <w:t>1</w:t>
      </w:r>
      <w:r w:rsidRPr="008C2847">
        <w:rPr>
          <w:rFonts w:asciiTheme="majorHAnsi" w:hAnsiTheme="majorHAnsi" w:cstheme="majorHAnsi"/>
          <w:sz w:val="16"/>
          <w:szCs w:val="16"/>
        </w:rPr>
        <w:t>, Ruth R. Suza</w:t>
      </w:r>
      <w:r w:rsidRPr="008C2847">
        <w:rPr>
          <w:rFonts w:asciiTheme="majorHAnsi" w:hAnsiTheme="majorHAnsi" w:cstheme="majorHAnsi"/>
          <w:sz w:val="16"/>
          <w:szCs w:val="16"/>
          <w:vertAlign w:val="superscript"/>
        </w:rPr>
        <w:t>1</w:t>
      </w:r>
      <w:r w:rsidRPr="008C2847">
        <w:rPr>
          <w:rFonts w:asciiTheme="majorHAnsi" w:hAnsiTheme="majorHAnsi" w:cstheme="majorHAnsi"/>
          <w:sz w:val="16"/>
          <w:szCs w:val="16"/>
        </w:rPr>
        <w:t xml:space="preserve">, Rose </w:t>
      </w:r>
      <w:proofErr w:type="spellStart"/>
      <w:r w:rsidRPr="008C2847">
        <w:rPr>
          <w:rFonts w:asciiTheme="majorHAnsi" w:hAnsiTheme="majorHAnsi" w:cstheme="majorHAnsi"/>
          <w:sz w:val="16"/>
          <w:szCs w:val="16"/>
        </w:rPr>
        <w:t>Shija</w:t>
      </w:r>
      <w:proofErr w:type="spellEnd"/>
      <w:r w:rsidRPr="008C2847">
        <w:rPr>
          <w:rFonts w:asciiTheme="majorHAnsi" w:hAnsiTheme="majorHAnsi" w:cstheme="majorHAnsi"/>
          <w:sz w:val="16"/>
          <w:szCs w:val="16"/>
        </w:rPr>
        <w:t xml:space="preserve"> Muhangwa</w:t>
      </w:r>
      <w:r w:rsidRPr="008C2847">
        <w:rPr>
          <w:rFonts w:asciiTheme="majorHAnsi" w:hAnsiTheme="majorHAnsi" w:cstheme="majorHAnsi"/>
          <w:sz w:val="16"/>
          <w:szCs w:val="16"/>
          <w:vertAlign w:val="superscript"/>
        </w:rPr>
        <w:t>2</w:t>
      </w:r>
      <w:r w:rsidRPr="008C2847">
        <w:rPr>
          <w:rFonts w:asciiTheme="majorHAnsi" w:hAnsiTheme="majorHAnsi" w:cstheme="majorHAnsi"/>
          <w:sz w:val="16"/>
          <w:szCs w:val="16"/>
        </w:rPr>
        <w:t>, Paulo P. Mhame</w:t>
      </w:r>
      <w:r w:rsidRPr="008C2847">
        <w:rPr>
          <w:rFonts w:asciiTheme="majorHAnsi" w:hAnsiTheme="majorHAnsi" w:cstheme="majorHAnsi"/>
          <w:sz w:val="16"/>
          <w:szCs w:val="16"/>
          <w:vertAlign w:val="superscript"/>
        </w:rPr>
        <w:t>1*</w:t>
      </w:r>
    </w:p>
    <w:p w14:paraId="2136E060" w14:textId="77777777" w:rsidR="00356779" w:rsidRPr="008C2847" w:rsidRDefault="00356779" w:rsidP="00356779">
      <w:pPr>
        <w:pStyle w:val="ListParagraph"/>
        <w:numPr>
          <w:ilvl w:val="0"/>
          <w:numId w:val="1"/>
        </w:numPr>
        <w:spacing w:after="200" w:line="276" w:lineRule="auto"/>
        <w:rPr>
          <w:rFonts w:asciiTheme="majorHAnsi" w:hAnsiTheme="majorHAnsi" w:cstheme="majorHAnsi"/>
          <w:i/>
          <w:sz w:val="16"/>
          <w:szCs w:val="16"/>
        </w:rPr>
      </w:pPr>
      <w:r w:rsidRPr="008C2847">
        <w:rPr>
          <w:rFonts w:asciiTheme="majorHAnsi" w:hAnsiTheme="majorHAnsi" w:cstheme="majorHAnsi"/>
          <w:i/>
          <w:sz w:val="16"/>
          <w:szCs w:val="16"/>
        </w:rPr>
        <w:t>Traditional and Alternative Health Practice Council, Ministry of Health, Community Development, Gender, Elderly and Children. P.o. Box 743, Dodoma, Tanzania.</w:t>
      </w:r>
    </w:p>
    <w:p w14:paraId="514A8197" w14:textId="77777777" w:rsidR="00356779" w:rsidRPr="008C2847" w:rsidRDefault="00356779" w:rsidP="00356779">
      <w:pPr>
        <w:pStyle w:val="ListParagraph"/>
        <w:numPr>
          <w:ilvl w:val="0"/>
          <w:numId w:val="1"/>
        </w:numPr>
        <w:spacing w:after="200" w:line="276" w:lineRule="auto"/>
        <w:rPr>
          <w:rFonts w:asciiTheme="majorHAnsi" w:hAnsiTheme="majorHAnsi" w:cstheme="majorHAnsi"/>
          <w:i/>
          <w:sz w:val="16"/>
          <w:szCs w:val="16"/>
        </w:rPr>
      </w:pPr>
      <w:r w:rsidRPr="008C2847">
        <w:rPr>
          <w:rFonts w:asciiTheme="majorHAnsi" w:eastAsia="Times New Roman" w:hAnsiTheme="majorHAnsi" w:cstheme="majorHAnsi"/>
          <w:i/>
          <w:sz w:val="16"/>
          <w:szCs w:val="16"/>
          <w:lang w:val="en-GB"/>
        </w:rPr>
        <w:t>World Health Organization, P.O BOX 9292, Dar es salaam, Tanzania</w:t>
      </w:r>
      <w:r w:rsidRPr="008C2847">
        <w:rPr>
          <w:rFonts w:asciiTheme="majorHAnsi" w:eastAsia="Times New Roman" w:hAnsiTheme="majorHAnsi" w:cstheme="majorHAnsi"/>
          <w:color w:val="1F497D"/>
          <w:sz w:val="16"/>
          <w:szCs w:val="16"/>
          <w:lang w:val="en-GB"/>
        </w:rPr>
        <w:t>.</w:t>
      </w:r>
    </w:p>
    <w:p w14:paraId="08D277BB"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842"/>
    <w:multiLevelType w:val="hybridMultilevel"/>
    <w:tmpl w:val="E6061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79"/>
    <w:rsid w:val="00356779"/>
    <w:rsid w:val="007825E3"/>
    <w:rsid w:val="009134EA"/>
    <w:rsid w:val="00EF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281"/>
  <w15:chartTrackingRefBased/>
  <w15:docId w15:val="{FD22FE49-F1E9-46EB-8CD9-6A2CE3C5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2020-10-19T17:20:00Z</dcterms:created>
  <dcterms:modified xsi:type="dcterms:W3CDTF">2020-10-19T17:49:00Z</dcterms:modified>
</cp:coreProperties>
</file>