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E77" w14:textId="71AE97E0" w:rsidR="00AF02AB" w:rsidRPr="00AF02AB" w:rsidRDefault="00AF02AB" w:rsidP="00AF02AB">
      <w:pPr>
        <w:pStyle w:val="ListParagraph"/>
        <w:numPr>
          <w:ilvl w:val="0"/>
          <w:numId w:val="2"/>
        </w:numPr>
        <w:spacing w:before="100" w:beforeAutospacing="1" w:after="100" w:afterAutospacing="1"/>
        <w:jc w:val="center"/>
        <w:rPr>
          <w:rFonts w:eastAsia="Times New Roman" w:cstheme="minorHAnsi"/>
          <w:b/>
          <w:bCs/>
          <w:color w:val="000000"/>
          <w:sz w:val="24"/>
          <w:szCs w:val="24"/>
        </w:rPr>
      </w:pPr>
      <w:r w:rsidRPr="00AF02AB">
        <w:rPr>
          <w:rFonts w:eastAsia="Times New Roman" w:cstheme="minorHAnsi"/>
          <w:b/>
          <w:bCs/>
          <w:color w:val="000000"/>
          <w:sz w:val="24"/>
          <w:szCs w:val="24"/>
        </w:rPr>
        <w:t>Step up to health, Nigeria!</w:t>
      </w:r>
      <w:r w:rsidRPr="00AF02AB">
        <w:rPr>
          <w:rFonts w:eastAsia="Times New Roman" w:cstheme="minorHAnsi"/>
          <w:color w:val="000000"/>
          <w:sz w:val="24"/>
          <w:szCs w:val="24"/>
        </w:rPr>
        <w:t xml:space="preserve"> </w:t>
      </w:r>
      <w:r w:rsidRPr="00AF02AB">
        <w:rPr>
          <w:rFonts w:eastAsia="Times New Roman" w:cstheme="minorHAnsi"/>
          <w:b/>
          <w:bCs/>
          <w:color w:val="000000"/>
          <w:sz w:val="24"/>
          <w:szCs w:val="24"/>
        </w:rPr>
        <w:t>Utilizing information from Abuja's 2020 World Cancer Day Walk for equity-based cancer prevention interventions</w:t>
      </w:r>
    </w:p>
    <w:p w14:paraId="7D34BC67" w14:textId="77777777" w:rsidR="00AF02AB" w:rsidRPr="0082158F" w:rsidRDefault="00AF02AB" w:rsidP="00AF02AB">
      <w:pPr>
        <w:spacing w:before="100" w:beforeAutospacing="1" w:after="100" w:afterAutospacing="1"/>
        <w:jc w:val="center"/>
        <w:rPr>
          <w:rFonts w:eastAsia="Times New Roman" w:cstheme="minorHAnsi"/>
          <w:color w:val="000000"/>
          <w:sz w:val="24"/>
          <w:szCs w:val="24"/>
        </w:rPr>
      </w:pPr>
      <w:r w:rsidRPr="0082158F">
        <w:rPr>
          <w:rFonts w:cstheme="minorHAnsi"/>
          <w:b/>
          <w:bCs/>
          <w:sz w:val="24"/>
          <w:szCs w:val="24"/>
        </w:rPr>
        <w:t>Global Integrative Oncology: Use in Cancer Prevention</w:t>
      </w:r>
    </w:p>
    <w:p w14:paraId="6B2CC150" w14:textId="77777777" w:rsidR="00AF02AB" w:rsidRPr="00C110D7" w:rsidRDefault="00AF02AB" w:rsidP="00AF02AB">
      <w:pPr>
        <w:spacing w:before="100" w:beforeAutospacing="1" w:after="100" w:afterAutospacing="1"/>
        <w:jc w:val="both"/>
        <w:rPr>
          <w:rFonts w:eastAsia="Times New Roman" w:cstheme="minorHAnsi"/>
          <w:color w:val="000000" w:themeColor="text1"/>
          <w:sz w:val="24"/>
          <w:szCs w:val="24"/>
        </w:rPr>
      </w:pPr>
      <w:r w:rsidRPr="00C110D7">
        <w:rPr>
          <w:rFonts w:eastAsia="Times New Roman" w:cstheme="minorHAnsi"/>
          <w:b/>
          <w:bCs/>
          <w:color w:val="000000"/>
          <w:sz w:val="24"/>
          <w:szCs w:val="24"/>
        </w:rPr>
        <w:t>Background</w:t>
      </w:r>
      <w:r w:rsidRPr="00C110D7">
        <w:rPr>
          <w:rFonts w:eastAsia="Times New Roman" w:cstheme="minorHAnsi"/>
          <w:color w:val="000000"/>
          <w:sz w:val="24"/>
          <w:szCs w:val="24"/>
        </w:rPr>
        <w:t>:</w:t>
      </w:r>
      <w:r w:rsidRPr="00C110D7">
        <w:rPr>
          <w:rFonts w:eastAsia="Times New Roman" w:cstheme="minorHAnsi"/>
          <w:b/>
          <w:bCs/>
          <w:color w:val="000000"/>
          <w:sz w:val="24"/>
          <w:szCs w:val="24"/>
        </w:rPr>
        <w:t> </w:t>
      </w:r>
      <w:r w:rsidRPr="00C110D7">
        <w:rPr>
          <w:rFonts w:eastAsia="Times New Roman" w:cstheme="minorHAnsi"/>
          <w:color w:val="000000" w:themeColor="text1"/>
          <w:sz w:val="24"/>
          <w:szCs w:val="24"/>
        </w:rPr>
        <w:t>Abuja’s annual World Cancer Day Walk (WCDW) is a tool for promoting public awareness of cancer risk factors, preventative lifestyle strategies, and importance of early screening as critical elements of prevention and control. The effectiveness of the walk in attracting the most vulnerable populations has not been studied. </w:t>
      </w:r>
    </w:p>
    <w:p w14:paraId="2F010AAE" w14:textId="77777777" w:rsidR="00AF02AB" w:rsidRPr="00C110D7" w:rsidRDefault="00AF02AB" w:rsidP="00AF02AB">
      <w:pPr>
        <w:spacing w:before="100" w:beforeAutospacing="1" w:after="100" w:afterAutospacing="1"/>
        <w:jc w:val="both"/>
        <w:rPr>
          <w:rFonts w:eastAsia="Times New Roman" w:cstheme="minorHAnsi"/>
          <w:color w:val="000000" w:themeColor="text1"/>
          <w:sz w:val="24"/>
          <w:szCs w:val="24"/>
        </w:rPr>
      </w:pPr>
      <w:r w:rsidRPr="00C110D7">
        <w:rPr>
          <w:rFonts w:eastAsia="Times New Roman" w:cstheme="minorHAnsi"/>
          <w:b/>
          <w:bCs/>
          <w:color w:val="000000"/>
          <w:sz w:val="24"/>
          <w:szCs w:val="24"/>
        </w:rPr>
        <w:t>Aim</w:t>
      </w:r>
      <w:r w:rsidRPr="00C110D7">
        <w:rPr>
          <w:rFonts w:eastAsia="Times New Roman" w:cstheme="minorHAnsi"/>
          <w:color w:val="000000"/>
          <w:sz w:val="24"/>
          <w:szCs w:val="24"/>
        </w:rPr>
        <w:t>:</w:t>
      </w:r>
      <w:r w:rsidRPr="00C110D7">
        <w:rPr>
          <w:rFonts w:eastAsia="Times New Roman" w:cstheme="minorHAnsi"/>
          <w:color w:val="0070C0"/>
          <w:sz w:val="24"/>
          <w:szCs w:val="24"/>
        </w:rPr>
        <w:t xml:space="preserve"> </w:t>
      </w:r>
      <w:r w:rsidRPr="00C110D7">
        <w:rPr>
          <w:rFonts w:eastAsia="Times New Roman" w:cstheme="minorHAnsi"/>
          <w:color w:val="000000"/>
          <w:sz w:val="24"/>
          <w:szCs w:val="24"/>
        </w:rPr>
        <w:t>To determine the social-demographic characteristics of participants to evaluate the impact of outreach campaigns.</w:t>
      </w:r>
    </w:p>
    <w:p w14:paraId="56038F59" w14:textId="77777777" w:rsidR="00AF02AB" w:rsidRPr="00C110D7" w:rsidRDefault="00AF02AB" w:rsidP="00AF02AB">
      <w:pPr>
        <w:spacing w:before="100" w:beforeAutospacing="1" w:after="100" w:afterAutospacing="1"/>
        <w:jc w:val="both"/>
        <w:rPr>
          <w:rFonts w:eastAsia="Times New Roman" w:cstheme="minorHAnsi"/>
          <w:color w:val="000000"/>
          <w:sz w:val="24"/>
          <w:szCs w:val="24"/>
        </w:rPr>
      </w:pPr>
      <w:r w:rsidRPr="00C110D7">
        <w:rPr>
          <w:rFonts w:eastAsia="Times New Roman" w:cstheme="minorHAnsi"/>
          <w:b/>
          <w:bCs/>
          <w:color w:val="000000"/>
          <w:sz w:val="24"/>
          <w:szCs w:val="24"/>
        </w:rPr>
        <w:t>Methodology</w:t>
      </w:r>
      <w:r w:rsidRPr="00C110D7">
        <w:rPr>
          <w:rFonts w:eastAsia="Times New Roman" w:cstheme="minorHAnsi"/>
          <w:color w:val="000000"/>
          <w:sz w:val="24"/>
          <w:szCs w:val="24"/>
        </w:rPr>
        <w:t>:</w:t>
      </w:r>
      <w:r w:rsidRPr="00C110D7">
        <w:rPr>
          <w:rFonts w:eastAsia="Times New Roman" w:cstheme="minorHAnsi"/>
          <w:b/>
          <w:bCs/>
          <w:color w:val="000000"/>
          <w:sz w:val="24"/>
          <w:szCs w:val="24"/>
        </w:rPr>
        <w:t> </w:t>
      </w:r>
      <w:r w:rsidRPr="00C110D7">
        <w:rPr>
          <w:rFonts w:eastAsia="Times New Roman" w:cstheme="minorHAnsi"/>
          <w:color w:val="000000" w:themeColor="text1"/>
          <w:sz w:val="24"/>
          <w:szCs w:val="24"/>
        </w:rPr>
        <w:t xml:space="preserve">Approximately 2,000 Nigerians attended Abuja WCDW on February 1, 2020. Trained research assistants recruited participants to complete a one-sheet questionnaire that assessed basic demographic, social, and lifestyle information. Participants were given informed consent. </w:t>
      </w:r>
      <w:proofErr w:type="gramStart"/>
      <w:r w:rsidRPr="00C110D7">
        <w:rPr>
          <w:rFonts w:eastAsia="Times New Roman" w:cstheme="minorHAnsi"/>
          <w:color w:val="000000" w:themeColor="text1"/>
          <w:sz w:val="24"/>
          <w:szCs w:val="24"/>
        </w:rPr>
        <w:t>237 (11%) participants,</w:t>
      </w:r>
      <w:proofErr w:type="gramEnd"/>
      <w:r w:rsidRPr="00C110D7">
        <w:rPr>
          <w:rFonts w:eastAsia="Times New Roman" w:cstheme="minorHAnsi"/>
          <w:color w:val="000000" w:themeColor="text1"/>
          <w:sz w:val="24"/>
          <w:szCs w:val="24"/>
        </w:rPr>
        <w:t xml:space="preserve"> aged 18-68 years voluntarily completed survey. </w:t>
      </w:r>
      <w:proofErr w:type="spellStart"/>
      <w:r w:rsidRPr="00C110D7">
        <w:rPr>
          <w:rFonts w:eastAsia="Times New Roman" w:cstheme="minorHAnsi"/>
          <w:color w:val="000000" w:themeColor="text1"/>
          <w:sz w:val="24"/>
          <w:szCs w:val="24"/>
        </w:rPr>
        <w:t>ClinicalTrials</w:t>
      </w:r>
      <w:proofErr w:type="spellEnd"/>
      <w:r w:rsidRPr="00C110D7">
        <w:rPr>
          <w:rFonts w:eastAsia="Times New Roman" w:cstheme="minorHAnsi"/>
          <w:color w:val="000000" w:themeColor="text1"/>
          <w:sz w:val="24"/>
          <w:szCs w:val="24"/>
        </w:rPr>
        <w:t xml:space="preserve"> #NCT04248881.</w:t>
      </w:r>
    </w:p>
    <w:p w14:paraId="619F36E0" w14:textId="77777777" w:rsidR="00AF02AB" w:rsidRPr="00C110D7" w:rsidRDefault="00AF02AB" w:rsidP="00AF02AB">
      <w:pPr>
        <w:spacing w:before="100" w:beforeAutospacing="1" w:after="100" w:afterAutospacing="1"/>
        <w:jc w:val="both"/>
        <w:rPr>
          <w:rFonts w:eastAsia="Times New Roman" w:cstheme="minorHAnsi"/>
          <w:color w:val="000000"/>
          <w:sz w:val="24"/>
          <w:szCs w:val="24"/>
        </w:rPr>
      </w:pPr>
      <w:r w:rsidRPr="00C110D7">
        <w:rPr>
          <w:rFonts w:eastAsia="Times New Roman" w:cstheme="minorHAnsi"/>
          <w:b/>
          <w:bCs/>
          <w:color w:val="000000"/>
          <w:sz w:val="24"/>
          <w:szCs w:val="24"/>
        </w:rPr>
        <w:t>Results</w:t>
      </w:r>
      <w:r w:rsidRPr="00C110D7">
        <w:rPr>
          <w:rFonts w:eastAsia="Times New Roman" w:cstheme="minorHAnsi"/>
          <w:color w:val="000000"/>
          <w:sz w:val="24"/>
          <w:szCs w:val="24"/>
        </w:rPr>
        <w:t>: The mean age for participants was 28; SD 7.71. Sixty-eight percent were women. Eighty-seven percent had at least an undergraduate education. Of the 237 participants, 65% reported that they attended to obtain cancer screening. More than 50% reported they had no health insurance. Of those insured, more had National Health Insurance Scheme (NHIS) than private insurance. The average body mass index (BMI) was between 24-28; BMI was highest among the mid-20 age group. Lifestyle data revealed more men than women were concerned with their health; those with health worries were more likely to have had cancer screening at the event. </w:t>
      </w:r>
    </w:p>
    <w:p w14:paraId="34091EA5" w14:textId="77777777" w:rsidR="00AF02AB" w:rsidRPr="00C110D7" w:rsidRDefault="00AF02AB" w:rsidP="00AF02AB">
      <w:pPr>
        <w:spacing w:before="100" w:beforeAutospacing="1" w:after="100" w:afterAutospacing="1"/>
        <w:jc w:val="both"/>
        <w:rPr>
          <w:rFonts w:eastAsia="Times New Roman" w:cstheme="minorHAnsi"/>
          <w:color w:val="000000"/>
          <w:sz w:val="24"/>
          <w:szCs w:val="24"/>
        </w:rPr>
      </w:pPr>
      <w:r w:rsidRPr="00C110D7">
        <w:rPr>
          <w:rFonts w:eastAsia="Times New Roman" w:cstheme="minorHAnsi"/>
          <w:b/>
          <w:bCs/>
          <w:color w:val="000000"/>
          <w:sz w:val="24"/>
          <w:szCs w:val="24"/>
        </w:rPr>
        <w:t>Analysis</w:t>
      </w:r>
      <w:r w:rsidRPr="00C110D7">
        <w:rPr>
          <w:rFonts w:eastAsia="Times New Roman" w:cstheme="minorHAnsi"/>
          <w:color w:val="000000"/>
          <w:sz w:val="24"/>
          <w:szCs w:val="24"/>
        </w:rPr>
        <w:t>: Data revealed participants are predominately associated with a lower risk of developing cancer. They have higher levels of knowledge about cancer and lifestyle/health-related behaviors beneficial for early detection and prevention. WCDW is a great avenue for cancer awareness/lifestyle prevention interventions yet there is an urgent need to evaluate efficacy of current outreach to target underserved members of Nigerian population; those with lower levels of education, unemployed, lower income, and without insurance. </w:t>
      </w:r>
    </w:p>
    <w:p w14:paraId="5CE96FAA" w14:textId="77777777" w:rsidR="00AF02AB" w:rsidRPr="00C110D7" w:rsidRDefault="00AF02AB" w:rsidP="00AF02AB">
      <w:pPr>
        <w:spacing w:before="100" w:beforeAutospacing="1" w:after="100" w:afterAutospacing="1"/>
        <w:jc w:val="both"/>
        <w:rPr>
          <w:rFonts w:eastAsia="Times New Roman" w:cstheme="minorHAnsi"/>
          <w:color w:val="000000" w:themeColor="text1"/>
          <w:sz w:val="24"/>
          <w:szCs w:val="24"/>
        </w:rPr>
      </w:pPr>
      <w:r w:rsidRPr="00C110D7">
        <w:rPr>
          <w:rFonts w:eastAsia="Times New Roman" w:cstheme="minorHAnsi"/>
          <w:b/>
          <w:bCs/>
          <w:color w:val="000000"/>
          <w:sz w:val="24"/>
          <w:szCs w:val="24"/>
        </w:rPr>
        <w:t>Conclusions</w:t>
      </w:r>
      <w:r w:rsidRPr="00C110D7">
        <w:rPr>
          <w:rFonts w:eastAsia="Times New Roman" w:cstheme="minorHAnsi"/>
          <w:color w:val="000000"/>
          <w:sz w:val="24"/>
          <w:szCs w:val="24"/>
        </w:rPr>
        <w:t>:</w:t>
      </w:r>
      <w:r w:rsidRPr="00C110D7">
        <w:rPr>
          <w:rFonts w:eastAsia="Times New Roman" w:cstheme="minorHAnsi"/>
          <w:color w:val="000000" w:themeColor="text1"/>
          <w:sz w:val="24"/>
          <w:szCs w:val="24"/>
        </w:rPr>
        <w:t xml:space="preserve"> Attendees are younger people of higher socioeconomic status with lifestyle practices that could reduce cancer risk. We must elaborate better strategies to reach populations at greater risk and encourage them to attend future events to have more impactful lifestyle/prevention outcomes.</w:t>
      </w:r>
    </w:p>
    <w:p w14:paraId="026DB0CB" w14:textId="77777777" w:rsidR="00AF02AB" w:rsidRPr="0082158F" w:rsidRDefault="00AF02AB" w:rsidP="00AF02AB">
      <w:pPr>
        <w:spacing w:before="100" w:beforeAutospacing="1" w:after="100" w:afterAutospacing="1"/>
        <w:jc w:val="both"/>
        <w:rPr>
          <w:rFonts w:eastAsia="Times New Roman" w:cstheme="minorHAnsi"/>
          <w:i/>
          <w:iCs/>
          <w:color w:val="000000" w:themeColor="text1"/>
          <w:sz w:val="24"/>
          <w:szCs w:val="24"/>
        </w:rPr>
      </w:pPr>
      <w:r w:rsidRPr="0082158F">
        <w:rPr>
          <w:rFonts w:eastAsia="Times New Roman" w:cstheme="minorHAnsi"/>
          <w:i/>
          <w:iCs/>
          <w:color w:val="000000" w:themeColor="text1"/>
          <w:sz w:val="20"/>
          <w:szCs w:val="20"/>
        </w:rPr>
        <w:lastRenderedPageBreak/>
        <w:t xml:space="preserve">Additional authors: </w:t>
      </w:r>
      <w:r w:rsidRPr="0082158F">
        <w:rPr>
          <w:rFonts w:eastAsia="Times New Roman" w:cstheme="minorHAnsi"/>
          <w:i/>
          <w:iCs/>
          <w:color w:val="000000"/>
          <w:sz w:val="20"/>
          <w:szCs w:val="20"/>
        </w:rPr>
        <w:t>Runcie C.W. Chidebe</w:t>
      </w:r>
      <w:r w:rsidRPr="0082158F">
        <w:rPr>
          <w:rFonts w:cstheme="minorHAnsi"/>
          <w:i/>
          <w:iCs/>
          <w:sz w:val="20"/>
          <w:szCs w:val="20"/>
        </w:rPr>
        <w:t xml:space="preserve">¹, </w:t>
      </w:r>
      <w:r w:rsidRPr="0082158F">
        <w:rPr>
          <w:rFonts w:eastAsia="Times New Roman" w:cstheme="minorHAnsi"/>
          <w:i/>
          <w:iCs/>
          <w:color w:val="000000"/>
          <w:sz w:val="20"/>
          <w:szCs w:val="20"/>
        </w:rPr>
        <w:t xml:space="preserve">Leigh Leibel², </w:t>
      </w:r>
      <w:proofErr w:type="spellStart"/>
      <w:r w:rsidRPr="0082158F">
        <w:rPr>
          <w:rFonts w:eastAsia="Times New Roman" w:cstheme="minorHAnsi"/>
          <w:i/>
          <w:iCs/>
          <w:color w:val="000000"/>
          <w:sz w:val="20"/>
          <w:szCs w:val="20"/>
        </w:rPr>
        <w:t>Duygu</w:t>
      </w:r>
      <w:proofErr w:type="spellEnd"/>
      <w:r w:rsidRPr="0082158F">
        <w:rPr>
          <w:rFonts w:eastAsia="Times New Roman" w:cstheme="minorHAnsi"/>
          <w:i/>
          <w:iCs/>
          <w:color w:val="000000"/>
          <w:sz w:val="20"/>
          <w:szCs w:val="20"/>
        </w:rPr>
        <w:t xml:space="preserve"> </w:t>
      </w:r>
      <w:proofErr w:type="spellStart"/>
      <w:r w:rsidRPr="0082158F">
        <w:rPr>
          <w:rFonts w:eastAsia="Times New Roman" w:cstheme="minorHAnsi"/>
          <w:i/>
          <w:iCs/>
          <w:color w:val="000000"/>
          <w:sz w:val="20"/>
          <w:szCs w:val="20"/>
        </w:rPr>
        <w:t>Altinok</w:t>
      </w:r>
      <w:proofErr w:type="spellEnd"/>
      <w:r w:rsidRPr="0082158F">
        <w:rPr>
          <w:rFonts w:eastAsia="Times New Roman" w:cstheme="minorHAnsi"/>
          <w:i/>
          <w:iCs/>
          <w:color w:val="000000"/>
          <w:sz w:val="20"/>
          <w:szCs w:val="20"/>
        </w:rPr>
        <w:t xml:space="preserve"> Dindar³, </w:t>
      </w:r>
      <w:proofErr w:type="spellStart"/>
      <w:r w:rsidRPr="0082158F">
        <w:rPr>
          <w:rFonts w:eastAsia="Times New Roman" w:cstheme="minorHAnsi"/>
          <w:i/>
          <w:iCs/>
          <w:color w:val="000000"/>
          <w:sz w:val="20"/>
          <w:szCs w:val="20"/>
        </w:rPr>
        <w:t>Batuhan</w:t>
      </w:r>
      <w:proofErr w:type="spellEnd"/>
      <w:r w:rsidRPr="0082158F">
        <w:rPr>
          <w:rFonts w:eastAsia="Times New Roman" w:cstheme="minorHAnsi"/>
          <w:i/>
          <w:iCs/>
          <w:color w:val="000000"/>
          <w:sz w:val="20"/>
          <w:szCs w:val="20"/>
        </w:rPr>
        <w:t xml:space="preserve"> </w:t>
      </w:r>
      <w:proofErr w:type="spellStart"/>
      <w:r w:rsidRPr="0082158F">
        <w:rPr>
          <w:rFonts w:eastAsia="Times New Roman" w:cstheme="minorHAnsi"/>
          <w:i/>
          <w:iCs/>
          <w:color w:val="000000"/>
          <w:sz w:val="20"/>
          <w:szCs w:val="20"/>
        </w:rPr>
        <w:t>Kisakol</w:t>
      </w:r>
      <w:proofErr w:type="spellEnd"/>
      <w:r w:rsidRPr="0082158F">
        <w:rPr>
          <w:rFonts w:eastAsia="Times New Roman" w:cstheme="minorHAnsi"/>
          <w:i/>
          <w:iCs/>
          <w:color w:val="000000"/>
          <w:sz w:val="20"/>
          <w:szCs w:val="20"/>
        </w:rPr>
        <w:t xml:space="preserve">⁴, </w:t>
      </w:r>
      <w:proofErr w:type="spellStart"/>
      <w:r w:rsidRPr="0082158F">
        <w:rPr>
          <w:rFonts w:eastAsia="Times New Roman" w:cstheme="minorHAnsi"/>
          <w:i/>
          <w:iCs/>
          <w:color w:val="000000"/>
          <w:sz w:val="20"/>
          <w:szCs w:val="20"/>
        </w:rPr>
        <w:t>Aviane</w:t>
      </w:r>
      <w:proofErr w:type="spellEnd"/>
      <w:r w:rsidRPr="0082158F">
        <w:rPr>
          <w:rFonts w:eastAsia="Times New Roman" w:cstheme="minorHAnsi"/>
          <w:i/>
          <w:iCs/>
          <w:color w:val="000000"/>
          <w:sz w:val="20"/>
          <w:szCs w:val="20"/>
        </w:rPr>
        <w:t xml:space="preserve"> Auguste⁵, Agha A. Agha⁶, </w:t>
      </w:r>
      <w:proofErr w:type="spellStart"/>
      <w:r w:rsidRPr="0082158F">
        <w:rPr>
          <w:rFonts w:eastAsia="Times New Roman" w:cstheme="minorHAnsi"/>
          <w:i/>
          <w:iCs/>
          <w:color w:val="000000"/>
          <w:sz w:val="20"/>
          <w:szCs w:val="20"/>
        </w:rPr>
        <w:t>Chinonso</w:t>
      </w:r>
      <w:proofErr w:type="spellEnd"/>
      <w:r w:rsidRPr="0082158F">
        <w:rPr>
          <w:rFonts w:eastAsia="Times New Roman" w:cstheme="minorHAnsi"/>
          <w:i/>
          <w:iCs/>
          <w:color w:val="000000"/>
          <w:sz w:val="20"/>
          <w:szCs w:val="20"/>
        </w:rPr>
        <w:t xml:space="preserve"> Ipiankama</w:t>
      </w:r>
      <w:r w:rsidRPr="0082158F">
        <w:rPr>
          <w:rFonts w:cstheme="minorHAnsi"/>
          <w:i/>
          <w:iCs/>
          <w:sz w:val="20"/>
          <w:szCs w:val="20"/>
        </w:rPr>
        <w:t>¹</w:t>
      </w:r>
      <w:r w:rsidRPr="0082158F">
        <w:rPr>
          <w:rFonts w:eastAsia="Times New Roman" w:cstheme="minorHAnsi"/>
          <w:i/>
          <w:iCs/>
          <w:color w:val="000000"/>
          <w:sz w:val="20"/>
          <w:szCs w:val="20"/>
        </w:rPr>
        <w:t xml:space="preserve">, Fabio Y. </w:t>
      </w:r>
      <w:proofErr w:type="spellStart"/>
      <w:r w:rsidRPr="0082158F">
        <w:rPr>
          <w:rFonts w:eastAsia="Times New Roman" w:cstheme="minorHAnsi"/>
          <w:i/>
          <w:iCs/>
          <w:color w:val="000000"/>
          <w:sz w:val="20"/>
          <w:szCs w:val="20"/>
        </w:rPr>
        <w:t>Moraes</w:t>
      </w:r>
      <w:proofErr w:type="spellEnd"/>
      <w:r w:rsidRPr="0082158F">
        <w:rPr>
          <w:rFonts w:eastAsia="Times New Roman" w:cstheme="minorHAnsi"/>
          <w:i/>
          <w:iCs/>
          <w:color w:val="000000"/>
          <w:sz w:val="20"/>
          <w:szCs w:val="20"/>
        </w:rPr>
        <w:t>⁷, Emeka J. Nwagboso</w:t>
      </w:r>
      <w:r w:rsidRPr="0082158F">
        <w:rPr>
          <w:rFonts w:cstheme="minorHAnsi"/>
          <w:i/>
          <w:iCs/>
          <w:sz w:val="20"/>
          <w:szCs w:val="20"/>
        </w:rPr>
        <w:t>¹,</w:t>
      </w:r>
      <w:r w:rsidRPr="0082158F">
        <w:rPr>
          <w:rFonts w:eastAsia="Times New Roman" w:cstheme="minorHAnsi"/>
          <w:i/>
          <w:iCs/>
          <w:color w:val="000000"/>
          <w:sz w:val="20"/>
          <w:szCs w:val="20"/>
        </w:rPr>
        <w:t xml:space="preserve"> </w:t>
      </w:r>
      <w:proofErr w:type="spellStart"/>
      <w:r w:rsidRPr="0082158F">
        <w:rPr>
          <w:rFonts w:eastAsia="Times New Roman" w:cstheme="minorHAnsi"/>
          <w:i/>
          <w:iCs/>
          <w:color w:val="000000"/>
          <w:sz w:val="20"/>
          <w:szCs w:val="20"/>
        </w:rPr>
        <w:t>Tochukwu</w:t>
      </w:r>
      <w:proofErr w:type="spellEnd"/>
      <w:r w:rsidRPr="0082158F">
        <w:rPr>
          <w:rFonts w:eastAsia="Times New Roman" w:cstheme="minorHAnsi"/>
          <w:i/>
          <w:iCs/>
          <w:color w:val="000000"/>
          <w:sz w:val="20"/>
          <w:szCs w:val="20"/>
        </w:rPr>
        <w:t xml:space="preserve"> </w:t>
      </w:r>
      <w:proofErr w:type="spellStart"/>
      <w:r w:rsidRPr="0082158F">
        <w:rPr>
          <w:rFonts w:eastAsia="Times New Roman" w:cstheme="minorHAnsi"/>
          <w:i/>
          <w:iCs/>
          <w:color w:val="000000"/>
          <w:sz w:val="20"/>
          <w:szCs w:val="20"/>
        </w:rPr>
        <w:t>Orjiakor</w:t>
      </w:r>
      <w:proofErr w:type="spellEnd"/>
      <w:r w:rsidRPr="0082158F">
        <w:rPr>
          <w:rFonts w:eastAsia="Times New Roman" w:cstheme="minorHAnsi"/>
          <w:i/>
          <w:iCs/>
          <w:color w:val="000000"/>
          <w:sz w:val="20"/>
          <w:szCs w:val="20"/>
        </w:rPr>
        <w:t xml:space="preserve">⁶, Ifeoma Okoye⁶, </w:t>
      </w:r>
      <w:proofErr w:type="spellStart"/>
      <w:r w:rsidRPr="0082158F">
        <w:rPr>
          <w:rFonts w:eastAsia="Times New Roman" w:cstheme="minorHAnsi"/>
          <w:i/>
          <w:iCs/>
          <w:color w:val="000000"/>
          <w:sz w:val="20"/>
          <w:szCs w:val="20"/>
        </w:rPr>
        <w:t>Darlingtina</w:t>
      </w:r>
      <w:proofErr w:type="spellEnd"/>
      <w:r w:rsidRPr="0082158F">
        <w:rPr>
          <w:rFonts w:eastAsia="Times New Roman" w:cstheme="minorHAnsi"/>
          <w:i/>
          <w:iCs/>
          <w:color w:val="000000"/>
          <w:sz w:val="20"/>
          <w:szCs w:val="20"/>
        </w:rPr>
        <w:t xml:space="preserve"> </w:t>
      </w:r>
      <w:proofErr w:type="spellStart"/>
      <w:r w:rsidRPr="0082158F">
        <w:rPr>
          <w:rFonts w:eastAsia="Times New Roman" w:cstheme="minorHAnsi"/>
          <w:i/>
          <w:iCs/>
          <w:color w:val="000000"/>
          <w:sz w:val="20"/>
          <w:szCs w:val="20"/>
        </w:rPr>
        <w:t>Esiaka</w:t>
      </w:r>
      <w:proofErr w:type="spellEnd"/>
      <w:r w:rsidRPr="0082158F">
        <w:rPr>
          <w:rFonts w:eastAsia="Times New Roman" w:cstheme="minorHAnsi"/>
          <w:i/>
          <w:iCs/>
          <w:color w:val="000000"/>
          <w:sz w:val="20"/>
          <w:szCs w:val="20"/>
        </w:rPr>
        <w:t>⁸</w:t>
      </w:r>
    </w:p>
    <w:p w14:paraId="4523FBAA" w14:textId="77777777" w:rsidR="00AF02AB" w:rsidRPr="0082158F" w:rsidRDefault="00AF02AB" w:rsidP="00AF02AB">
      <w:pPr>
        <w:widowControl w:val="0"/>
        <w:snapToGrid w:val="0"/>
        <w:spacing w:after="0" w:line="240" w:lineRule="auto"/>
        <w:contextualSpacing/>
        <w:jc w:val="both"/>
        <w:rPr>
          <w:rFonts w:eastAsia="Times New Roman" w:cstheme="minorHAnsi"/>
          <w:i/>
          <w:iCs/>
          <w:color w:val="000000"/>
          <w:sz w:val="18"/>
          <w:szCs w:val="18"/>
        </w:rPr>
      </w:pPr>
      <w:r w:rsidRPr="0082158F">
        <w:rPr>
          <w:rFonts w:cstheme="minorHAnsi"/>
          <w:i/>
          <w:iCs/>
          <w:sz w:val="18"/>
          <w:szCs w:val="18"/>
        </w:rPr>
        <w:t xml:space="preserve">1 </w:t>
      </w:r>
      <w:r w:rsidRPr="0082158F">
        <w:rPr>
          <w:rFonts w:eastAsia="Times New Roman" w:cstheme="minorHAnsi"/>
          <w:i/>
          <w:iCs/>
          <w:color w:val="000000"/>
          <w:sz w:val="18"/>
          <w:szCs w:val="18"/>
        </w:rPr>
        <w:t xml:space="preserve">Project PINK BLUE, Health and Psychological Trust Center, Abuja, Nigeria </w:t>
      </w:r>
    </w:p>
    <w:p w14:paraId="107A9123" w14:textId="77777777" w:rsidR="00AF02AB" w:rsidRPr="0082158F" w:rsidRDefault="00AF02AB" w:rsidP="00AF02AB">
      <w:pPr>
        <w:widowControl w:val="0"/>
        <w:snapToGrid w:val="0"/>
        <w:spacing w:after="0" w:line="240" w:lineRule="auto"/>
        <w:contextualSpacing/>
        <w:jc w:val="both"/>
        <w:rPr>
          <w:rFonts w:eastAsia="Times New Roman" w:cstheme="minorHAnsi"/>
          <w:i/>
          <w:iCs/>
          <w:color w:val="000000"/>
          <w:sz w:val="18"/>
          <w:szCs w:val="18"/>
        </w:rPr>
      </w:pPr>
      <w:r w:rsidRPr="0082158F">
        <w:rPr>
          <w:rFonts w:eastAsia="Times New Roman" w:cstheme="minorHAnsi"/>
          <w:i/>
          <w:iCs/>
          <w:color w:val="000000"/>
          <w:sz w:val="18"/>
          <w:szCs w:val="18"/>
        </w:rPr>
        <w:t xml:space="preserve">2 </w:t>
      </w:r>
      <w:r w:rsidRPr="0082158F">
        <w:rPr>
          <w:rFonts w:cstheme="minorHAnsi"/>
          <w:i/>
          <w:iCs/>
          <w:sz w:val="18"/>
          <w:szCs w:val="18"/>
        </w:rPr>
        <w:t>Columbia University</w:t>
      </w:r>
      <w:r w:rsidRPr="0082158F">
        <w:rPr>
          <w:rFonts w:eastAsia="Times New Roman" w:cstheme="minorHAnsi"/>
          <w:i/>
          <w:iCs/>
          <w:color w:val="000000"/>
          <w:sz w:val="18"/>
          <w:szCs w:val="18"/>
        </w:rPr>
        <w:t xml:space="preserve"> Medical Center, NY, NY, United States</w:t>
      </w:r>
    </w:p>
    <w:p w14:paraId="491EB72B" w14:textId="77777777" w:rsidR="00AF02AB" w:rsidRPr="0082158F" w:rsidRDefault="00AF02AB" w:rsidP="00AF02AB">
      <w:pPr>
        <w:widowControl w:val="0"/>
        <w:snapToGrid w:val="0"/>
        <w:spacing w:after="0" w:line="240" w:lineRule="auto"/>
        <w:contextualSpacing/>
        <w:jc w:val="both"/>
        <w:rPr>
          <w:rFonts w:eastAsia="Times New Roman" w:cstheme="minorHAnsi"/>
          <w:i/>
          <w:iCs/>
          <w:color w:val="000000"/>
          <w:sz w:val="18"/>
          <w:szCs w:val="18"/>
        </w:rPr>
      </w:pPr>
      <w:r w:rsidRPr="0082158F">
        <w:rPr>
          <w:rFonts w:eastAsia="Times New Roman" w:cstheme="minorHAnsi"/>
          <w:i/>
          <w:iCs/>
          <w:color w:val="000000"/>
          <w:sz w:val="18"/>
          <w:szCs w:val="18"/>
        </w:rPr>
        <w:t>3 OSHU Knight Cancer Institute, Cancer Early Detection Advanced Research Center (CEDAR), Portland,</w:t>
      </w:r>
    </w:p>
    <w:p w14:paraId="3A65C317" w14:textId="77777777" w:rsidR="00AF02AB" w:rsidRPr="0082158F" w:rsidRDefault="00AF02AB" w:rsidP="00AF02AB">
      <w:pPr>
        <w:widowControl w:val="0"/>
        <w:snapToGrid w:val="0"/>
        <w:spacing w:after="0" w:line="240" w:lineRule="auto"/>
        <w:contextualSpacing/>
        <w:jc w:val="both"/>
        <w:rPr>
          <w:rFonts w:eastAsia="Times New Roman" w:cstheme="minorHAnsi"/>
          <w:i/>
          <w:iCs/>
          <w:color w:val="000000"/>
          <w:sz w:val="18"/>
          <w:szCs w:val="18"/>
        </w:rPr>
      </w:pPr>
      <w:r w:rsidRPr="0082158F">
        <w:rPr>
          <w:rFonts w:eastAsia="Times New Roman" w:cstheme="minorHAnsi"/>
          <w:i/>
          <w:iCs/>
          <w:color w:val="000000"/>
          <w:sz w:val="18"/>
          <w:szCs w:val="18"/>
        </w:rPr>
        <w:t xml:space="preserve">   Oregon, United States</w:t>
      </w:r>
    </w:p>
    <w:p w14:paraId="6CFA145B" w14:textId="77777777" w:rsidR="00AF02AB" w:rsidRPr="0082158F" w:rsidRDefault="00AF02AB" w:rsidP="00AF02AB">
      <w:pPr>
        <w:widowControl w:val="0"/>
        <w:snapToGrid w:val="0"/>
        <w:spacing w:after="0" w:line="240" w:lineRule="auto"/>
        <w:contextualSpacing/>
        <w:jc w:val="both"/>
        <w:rPr>
          <w:rFonts w:eastAsia="Times New Roman" w:cstheme="minorHAnsi"/>
          <w:i/>
          <w:iCs/>
          <w:color w:val="000000"/>
          <w:sz w:val="18"/>
          <w:szCs w:val="18"/>
        </w:rPr>
      </w:pPr>
      <w:r w:rsidRPr="0082158F">
        <w:rPr>
          <w:rFonts w:eastAsia="Times New Roman" w:cstheme="minorHAnsi"/>
          <w:i/>
          <w:iCs/>
          <w:color w:val="000000"/>
          <w:sz w:val="18"/>
          <w:szCs w:val="18"/>
        </w:rPr>
        <w:t xml:space="preserve">4 Istanbul </w:t>
      </w:r>
      <w:proofErr w:type="spellStart"/>
      <w:r w:rsidRPr="0082158F">
        <w:rPr>
          <w:rFonts w:eastAsia="Times New Roman" w:cstheme="minorHAnsi"/>
          <w:i/>
          <w:iCs/>
          <w:color w:val="000000"/>
          <w:sz w:val="18"/>
          <w:szCs w:val="18"/>
        </w:rPr>
        <w:t>Sehir</w:t>
      </w:r>
      <w:proofErr w:type="spellEnd"/>
      <w:r w:rsidRPr="0082158F">
        <w:rPr>
          <w:rFonts w:eastAsia="Times New Roman" w:cstheme="minorHAnsi"/>
          <w:i/>
          <w:iCs/>
          <w:color w:val="000000"/>
          <w:sz w:val="18"/>
          <w:szCs w:val="18"/>
        </w:rPr>
        <w:t xml:space="preserve"> University, Computer Science and Engineering Department, Istanbul, Turkey</w:t>
      </w:r>
    </w:p>
    <w:p w14:paraId="50EBE071" w14:textId="77777777" w:rsidR="00AF02AB" w:rsidRPr="0082158F" w:rsidRDefault="00AF02AB" w:rsidP="00AF02AB">
      <w:pPr>
        <w:widowControl w:val="0"/>
        <w:snapToGrid w:val="0"/>
        <w:spacing w:after="0" w:line="240" w:lineRule="auto"/>
        <w:contextualSpacing/>
        <w:jc w:val="both"/>
        <w:rPr>
          <w:rFonts w:eastAsia="Times New Roman" w:cstheme="minorHAnsi"/>
          <w:i/>
          <w:iCs/>
          <w:color w:val="000000"/>
          <w:sz w:val="18"/>
          <w:szCs w:val="18"/>
        </w:rPr>
      </w:pPr>
      <w:r w:rsidRPr="0082158F">
        <w:rPr>
          <w:rFonts w:eastAsia="Times New Roman" w:cstheme="minorHAnsi"/>
          <w:i/>
          <w:iCs/>
          <w:color w:val="000000"/>
          <w:sz w:val="18"/>
          <w:szCs w:val="18"/>
        </w:rPr>
        <w:t xml:space="preserve">5 </w:t>
      </w:r>
      <w:r w:rsidRPr="0082158F">
        <w:rPr>
          <w:rFonts w:cstheme="minorHAnsi"/>
          <w:i/>
          <w:iCs/>
          <w:color w:val="000000" w:themeColor="text1"/>
          <w:sz w:val="18"/>
          <w:szCs w:val="18"/>
          <w:lang w:val="en-GB"/>
        </w:rPr>
        <w:t>Vaughn A. Lewis Institute for Research and Innovation (VALIRI), Castries, Saint Lucia</w:t>
      </w:r>
    </w:p>
    <w:p w14:paraId="040E32C9" w14:textId="77777777" w:rsidR="00AF02AB" w:rsidRPr="0082158F" w:rsidRDefault="00AF02AB" w:rsidP="00AF02AB">
      <w:pPr>
        <w:spacing w:after="0" w:line="240" w:lineRule="auto"/>
        <w:rPr>
          <w:rFonts w:eastAsia="Times New Roman" w:cstheme="minorHAnsi"/>
          <w:i/>
          <w:iCs/>
          <w:color w:val="000000"/>
          <w:sz w:val="18"/>
          <w:szCs w:val="18"/>
        </w:rPr>
      </w:pPr>
      <w:r w:rsidRPr="0082158F">
        <w:rPr>
          <w:rFonts w:eastAsia="Times New Roman" w:cstheme="minorHAnsi"/>
          <w:i/>
          <w:iCs/>
          <w:color w:val="000000"/>
          <w:sz w:val="18"/>
          <w:szCs w:val="18"/>
        </w:rPr>
        <w:t>6 University of Nigeria, Nsukka, Enugu, Nigeria</w:t>
      </w:r>
    </w:p>
    <w:p w14:paraId="2FBEF36E" w14:textId="77777777" w:rsidR="00AF02AB" w:rsidRPr="0082158F" w:rsidRDefault="00AF02AB" w:rsidP="00AF02AB">
      <w:pPr>
        <w:widowControl w:val="0"/>
        <w:snapToGrid w:val="0"/>
        <w:spacing w:after="0" w:line="240" w:lineRule="auto"/>
        <w:contextualSpacing/>
        <w:jc w:val="both"/>
        <w:rPr>
          <w:rFonts w:eastAsia="Times New Roman" w:cstheme="minorHAnsi"/>
          <w:i/>
          <w:iCs/>
          <w:color w:val="000000"/>
          <w:sz w:val="18"/>
          <w:szCs w:val="18"/>
        </w:rPr>
      </w:pPr>
      <w:r w:rsidRPr="0082158F">
        <w:rPr>
          <w:rFonts w:eastAsia="Times New Roman" w:cstheme="minorHAnsi"/>
          <w:i/>
          <w:iCs/>
          <w:color w:val="000000"/>
          <w:sz w:val="18"/>
          <w:szCs w:val="18"/>
        </w:rPr>
        <w:t>7 Queen’s University, Ontario, Canada</w:t>
      </w:r>
    </w:p>
    <w:p w14:paraId="4B8D9575" w14:textId="77777777" w:rsidR="00AF02AB" w:rsidRPr="0082158F" w:rsidRDefault="00AF02AB" w:rsidP="00AF02AB">
      <w:pPr>
        <w:widowControl w:val="0"/>
        <w:snapToGrid w:val="0"/>
        <w:spacing w:after="0" w:line="240" w:lineRule="auto"/>
        <w:jc w:val="both"/>
        <w:rPr>
          <w:rFonts w:eastAsia="Times New Roman" w:cstheme="minorHAnsi"/>
          <w:color w:val="000000"/>
          <w:sz w:val="18"/>
          <w:szCs w:val="18"/>
        </w:rPr>
      </w:pPr>
      <w:r w:rsidRPr="0082158F">
        <w:rPr>
          <w:rFonts w:eastAsia="Times New Roman" w:cstheme="minorHAnsi"/>
          <w:i/>
          <w:iCs/>
          <w:color w:val="000000"/>
          <w:sz w:val="18"/>
          <w:szCs w:val="18"/>
        </w:rPr>
        <w:t>8 Union College, Schenectady, NY, United States</w:t>
      </w:r>
    </w:p>
    <w:p w14:paraId="6E532325"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E410A"/>
    <w:multiLevelType w:val="hybridMultilevel"/>
    <w:tmpl w:val="4FF835DA"/>
    <w:lvl w:ilvl="0" w:tplc="5E66D4C2">
      <w:start w:val="2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4357B"/>
    <w:multiLevelType w:val="hybridMultilevel"/>
    <w:tmpl w:val="AC06F4B6"/>
    <w:lvl w:ilvl="0" w:tplc="04090011">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AB"/>
    <w:rsid w:val="007825E3"/>
    <w:rsid w:val="009134EA"/>
    <w:rsid w:val="00AF02AB"/>
    <w:rsid w:val="00C1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E812"/>
  <w15:chartTrackingRefBased/>
  <w15:docId w15:val="{2520012E-5596-4659-95AD-ADA529B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2020-10-19T17:43:00Z</dcterms:created>
  <dcterms:modified xsi:type="dcterms:W3CDTF">2020-10-19T17:44:00Z</dcterms:modified>
</cp:coreProperties>
</file>