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5B575" w14:textId="1E8126A0" w:rsidR="00E150DA" w:rsidRPr="00E150DA" w:rsidRDefault="00E150DA" w:rsidP="00E150DA">
      <w:pPr>
        <w:pStyle w:val="ListParagraph"/>
        <w:widowControl w:val="0"/>
        <w:numPr>
          <w:ilvl w:val="0"/>
          <w:numId w:val="2"/>
        </w:numPr>
        <w:autoSpaceDE w:val="0"/>
        <w:autoSpaceDN w:val="0"/>
        <w:adjustRightInd w:val="0"/>
        <w:spacing w:after="0" w:line="240" w:lineRule="auto"/>
        <w:jc w:val="center"/>
        <w:rPr>
          <w:rFonts w:asciiTheme="majorHAnsi" w:hAnsiTheme="majorHAnsi" w:cstheme="majorHAnsi"/>
          <w:b/>
          <w:bCs/>
          <w:sz w:val="24"/>
          <w:szCs w:val="24"/>
        </w:rPr>
      </w:pPr>
      <w:r w:rsidRPr="00E150DA">
        <w:rPr>
          <w:rFonts w:asciiTheme="majorHAnsi" w:hAnsiTheme="majorHAnsi" w:cstheme="majorHAnsi"/>
          <w:b/>
          <w:bCs/>
          <w:sz w:val="24"/>
          <w:szCs w:val="24"/>
        </w:rPr>
        <w:t>Viscum album use in pregnant rats – toxicity and safety evaluation</w:t>
      </w:r>
    </w:p>
    <w:p w14:paraId="62AF0C30" w14:textId="77777777" w:rsidR="00E150DA" w:rsidRPr="00CB6FE6" w:rsidRDefault="00E150DA" w:rsidP="00E150DA">
      <w:pPr>
        <w:pStyle w:val="ListParagraph"/>
        <w:widowControl w:val="0"/>
        <w:autoSpaceDE w:val="0"/>
        <w:autoSpaceDN w:val="0"/>
        <w:adjustRightInd w:val="0"/>
        <w:spacing w:after="0" w:line="240" w:lineRule="auto"/>
        <w:rPr>
          <w:rFonts w:asciiTheme="majorHAnsi" w:hAnsiTheme="majorHAnsi" w:cstheme="majorHAnsi"/>
          <w:b/>
          <w:bCs/>
          <w:sz w:val="24"/>
          <w:szCs w:val="24"/>
        </w:rPr>
      </w:pPr>
    </w:p>
    <w:p w14:paraId="7073809A" w14:textId="77777777" w:rsidR="00E150DA" w:rsidRPr="00CB6FE6" w:rsidRDefault="00E150DA" w:rsidP="00E150D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Calibri" w:hAnsiTheme="majorHAnsi" w:cstheme="majorHAnsi"/>
          <w:b/>
          <w:sz w:val="24"/>
          <w:szCs w:val="24"/>
        </w:rPr>
      </w:pPr>
      <w:r w:rsidRPr="00CB6FE6">
        <w:rPr>
          <w:rFonts w:asciiTheme="majorHAnsi" w:hAnsiTheme="majorHAnsi" w:cstheme="majorHAnsi"/>
          <w:b/>
          <w:bCs/>
          <w:sz w:val="24"/>
          <w:szCs w:val="24"/>
        </w:rPr>
        <w:t>Pharmacology of Traditional Medicine</w:t>
      </w:r>
    </w:p>
    <w:p w14:paraId="1A1974C1" w14:textId="77777777" w:rsidR="00E150DA" w:rsidRPr="00CB6FE6" w:rsidRDefault="00E150DA" w:rsidP="00E150DA">
      <w:pPr>
        <w:pStyle w:val="ListParagraph"/>
        <w:widowControl w:val="0"/>
        <w:autoSpaceDE w:val="0"/>
        <w:autoSpaceDN w:val="0"/>
        <w:adjustRightInd w:val="0"/>
        <w:spacing w:after="0" w:line="240" w:lineRule="auto"/>
        <w:rPr>
          <w:rFonts w:asciiTheme="majorHAnsi" w:hAnsiTheme="majorHAnsi" w:cstheme="majorHAnsi"/>
          <w:b/>
          <w:iCs/>
          <w:color w:val="000000"/>
          <w:sz w:val="24"/>
          <w:szCs w:val="24"/>
        </w:rPr>
      </w:pPr>
    </w:p>
    <w:p w14:paraId="5DA0DDAA" w14:textId="323C8A8B" w:rsidR="00E150DA" w:rsidRDefault="00E150DA" w:rsidP="00E150DA">
      <w:pPr>
        <w:widowControl w:val="0"/>
        <w:autoSpaceDE w:val="0"/>
        <w:autoSpaceDN w:val="0"/>
        <w:adjustRightInd w:val="0"/>
        <w:spacing w:after="0" w:line="240" w:lineRule="auto"/>
        <w:jc w:val="both"/>
        <w:rPr>
          <w:rFonts w:asciiTheme="majorHAnsi" w:hAnsiTheme="majorHAnsi" w:cstheme="majorHAnsi"/>
          <w:color w:val="000000"/>
          <w:sz w:val="24"/>
          <w:szCs w:val="24"/>
        </w:rPr>
      </w:pPr>
      <w:r w:rsidRPr="00CB6FE6">
        <w:rPr>
          <w:rFonts w:asciiTheme="majorHAnsi" w:hAnsiTheme="majorHAnsi" w:cstheme="majorHAnsi"/>
          <w:b/>
          <w:iCs/>
          <w:color w:val="000000"/>
          <w:sz w:val="24"/>
          <w:szCs w:val="24"/>
        </w:rPr>
        <w:t>Background:</w:t>
      </w:r>
      <w:r w:rsidRPr="00CB6FE6">
        <w:rPr>
          <w:rFonts w:asciiTheme="majorHAnsi" w:hAnsiTheme="majorHAnsi" w:cstheme="majorHAnsi"/>
          <w:iCs/>
          <w:color w:val="000000"/>
          <w:sz w:val="24"/>
          <w:szCs w:val="24"/>
        </w:rPr>
        <w:t xml:space="preserve"> </w:t>
      </w:r>
      <w:r w:rsidRPr="00CB6FE6">
        <w:rPr>
          <w:rFonts w:asciiTheme="majorHAnsi" w:hAnsiTheme="majorHAnsi" w:cstheme="majorHAnsi"/>
          <w:color w:val="000000"/>
          <w:sz w:val="24"/>
          <w:szCs w:val="24"/>
        </w:rPr>
        <w:t>The incidence of cancer in pregnant women is becoming as common as cervical and uterine cancer, associated mainly due to the postponement of pregnancy. Chemotherapy drugs present a considerable carcinogenic risk to the pregnant woman as well as teratogenicity risk to the fetus. A natural drug, prepared with white berry mistletoe (</w:t>
      </w:r>
      <w:r w:rsidRPr="00CB6FE6">
        <w:rPr>
          <w:rFonts w:asciiTheme="majorHAnsi" w:hAnsiTheme="majorHAnsi" w:cstheme="majorHAnsi"/>
          <w:i/>
          <w:color w:val="000000"/>
          <w:sz w:val="24"/>
          <w:szCs w:val="24"/>
        </w:rPr>
        <w:t>Viscum album</w:t>
      </w:r>
      <w:r w:rsidRPr="00CB6FE6">
        <w:rPr>
          <w:rFonts w:asciiTheme="majorHAnsi" w:hAnsiTheme="majorHAnsi" w:cstheme="majorHAnsi"/>
          <w:color w:val="000000"/>
          <w:sz w:val="24"/>
          <w:szCs w:val="24"/>
        </w:rPr>
        <w:t xml:space="preserve"> - VA) is widely used in Europe as a complementary treatment for cancer, for over 100 years.</w:t>
      </w:r>
    </w:p>
    <w:p w14:paraId="579BC2D9" w14:textId="77777777" w:rsidR="00F05506" w:rsidRPr="00CB6FE6" w:rsidRDefault="00F05506" w:rsidP="00E150DA">
      <w:pPr>
        <w:widowControl w:val="0"/>
        <w:autoSpaceDE w:val="0"/>
        <w:autoSpaceDN w:val="0"/>
        <w:adjustRightInd w:val="0"/>
        <w:spacing w:after="0" w:line="240" w:lineRule="auto"/>
        <w:jc w:val="both"/>
        <w:rPr>
          <w:rFonts w:asciiTheme="majorHAnsi" w:hAnsiTheme="majorHAnsi" w:cstheme="majorHAnsi"/>
          <w:color w:val="000000"/>
          <w:sz w:val="24"/>
          <w:szCs w:val="24"/>
        </w:rPr>
      </w:pPr>
    </w:p>
    <w:p w14:paraId="7F649C85" w14:textId="343518C8" w:rsidR="00E150DA" w:rsidRDefault="00E150DA" w:rsidP="00E150DA">
      <w:pPr>
        <w:widowControl w:val="0"/>
        <w:autoSpaceDE w:val="0"/>
        <w:autoSpaceDN w:val="0"/>
        <w:adjustRightInd w:val="0"/>
        <w:spacing w:after="0" w:line="240" w:lineRule="auto"/>
        <w:jc w:val="both"/>
        <w:rPr>
          <w:rFonts w:asciiTheme="majorHAnsi" w:hAnsiTheme="majorHAnsi" w:cstheme="majorHAnsi"/>
          <w:sz w:val="24"/>
          <w:szCs w:val="24"/>
        </w:rPr>
      </w:pPr>
      <w:r w:rsidRPr="00CB6FE6">
        <w:rPr>
          <w:rFonts w:asciiTheme="majorHAnsi" w:hAnsiTheme="majorHAnsi" w:cstheme="majorHAnsi"/>
          <w:b/>
          <w:color w:val="000000"/>
          <w:sz w:val="24"/>
          <w:szCs w:val="24"/>
        </w:rPr>
        <w:t>Objective:</w:t>
      </w:r>
      <w:r w:rsidRPr="00CB6FE6">
        <w:rPr>
          <w:rFonts w:asciiTheme="majorHAnsi" w:hAnsiTheme="majorHAnsi" w:cstheme="majorHAnsi"/>
          <w:color w:val="000000"/>
          <w:sz w:val="24"/>
          <w:szCs w:val="24"/>
        </w:rPr>
        <w:t xml:space="preserve"> </w:t>
      </w:r>
      <w:r w:rsidRPr="00CB6FE6">
        <w:rPr>
          <w:rFonts w:asciiTheme="majorHAnsi" w:hAnsiTheme="majorHAnsi" w:cstheme="majorHAnsi"/>
          <w:sz w:val="24"/>
          <w:szCs w:val="24"/>
        </w:rPr>
        <w:t>The safety of intrauterine fetal exposure to VA was evaluated in a rat model with the objective of gathering further evidence for the safe use of therapeutic doses of VA in pregnant cancer patients</w:t>
      </w:r>
      <w:r w:rsidR="00F05506">
        <w:rPr>
          <w:rFonts w:asciiTheme="majorHAnsi" w:hAnsiTheme="majorHAnsi" w:cstheme="majorHAnsi"/>
          <w:sz w:val="24"/>
          <w:szCs w:val="24"/>
        </w:rPr>
        <w:t>.</w:t>
      </w:r>
    </w:p>
    <w:p w14:paraId="3CA22A14" w14:textId="77777777" w:rsidR="00F05506" w:rsidRPr="00CB6FE6" w:rsidRDefault="00F05506" w:rsidP="00E150DA">
      <w:pPr>
        <w:widowControl w:val="0"/>
        <w:autoSpaceDE w:val="0"/>
        <w:autoSpaceDN w:val="0"/>
        <w:adjustRightInd w:val="0"/>
        <w:spacing w:after="0" w:line="240" w:lineRule="auto"/>
        <w:jc w:val="both"/>
        <w:rPr>
          <w:rFonts w:asciiTheme="majorHAnsi" w:hAnsiTheme="majorHAnsi" w:cstheme="majorHAnsi"/>
          <w:color w:val="000000"/>
          <w:sz w:val="24"/>
          <w:szCs w:val="24"/>
        </w:rPr>
      </w:pPr>
    </w:p>
    <w:p w14:paraId="51D58B62" w14:textId="7404907D" w:rsidR="00E150DA" w:rsidRDefault="00E150DA" w:rsidP="00E150DA">
      <w:pPr>
        <w:widowControl w:val="0"/>
        <w:autoSpaceDE w:val="0"/>
        <w:autoSpaceDN w:val="0"/>
        <w:adjustRightInd w:val="0"/>
        <w:spacing w:after="0" w:line="240" w:lineRule="auto"/>
        <w:jc w:val="both"/>
        <w:rPr>
          <w:rFonts w:asciiTheme="majorHAnsi" w:hAnsiTheme="majorHAnsi" w:cstheme="majorHAnsi"/>
          <w:sz w:val="24"/>
          <w:szCs w:val="24"/>
        </w:rPr>
      </w:pPr>
      <w:r w:rsidRPr="00CB6FE6">
        <w:rPr>
          <w:rFonts w:asciiTheme="majorHAnsi" w:hAnsiTheme="majorHAnsi" w:cstheme="majorHAnsi"/>
          <w:b/>
          <w:color w:val="000000"/>
          <w:sz w:val="24"/>
          <w:szCs w:val="24"/>
        </w:rPr>
        <w:t>Methodology:</w:t>
      </w:r>
      <w:r w:rsidRPr="00CB6FE6">
        <w:rPr>
          <w:rFonts w:asciiTheme="majorHAnsi" w:hAnsiTheme="majorHAnsi" w:cstheme="majorHAnsi"/>
          <w:color w:val="000000"/>
          <w:sz w:val="24"/>
          <w:szCs w:val="24"/>
        </w:rPr>
        <w:t xml:space="preserve"> </w:t>
      </w:r>
      <w:r w:rsidRPr="00CB6FE6">
        <w:rPr>
          <w:rFonts w:asciiTheme="majorHAnsi" w:hAnsiTheme="majorHAnsi" w:cstheme="majorHAnsi"/>
          <w:sz w:val="24"/>
          <w:szCs w:val="24"/>
        </w:rPr>
        <w:t>47 pregnant Wistar rats and 399 fetuses bred following exposure to VA were investigated. The rats were randomized into five groups. Control group (CG) received no treatment and stress group (SG) received daily vehicle subcutaneous injections alone in same volume as the treatment groups from day zero until the twentieth day of pregnancy. There were three treatments groups: therapeutic dose group (TG) received the usual therapeutic dose (UTD) of 0.013 mg/kg; high dose group (HG) received 961 times the UTD and very high dose group (VHG) received 1,923 times the UTD, daily.</w:t>
      </w:r>
    </w:p>
    <w:p w14:paraId="6E27F176" w14:textId="77777777" w:rsidR="00F05506" w:rsidRPr="00CB6FE6" w:rsidRDefault="00F05506" w:rsidP="00E150DA">
      <w:pPr>
        <w:widowControl w:val="0"/>
        <w:autoSpaceDE w:val="0"/>
        <w:autoSpaceDN w:val="0"/>
        <w:adjustRightInd w:val="0"/>
        <w:spacing w:after="0" w:line="240" w:lineRule="auto"/>
        <w:jc w:val="both"/>
        <w:rPr>
          <w:rFonts w:asciiTheme="majorHAnsi" w:hAnsiTheme="majorHAnsi" w:cstheme="majorHAnsi"/>
          <w:color w:val="000000"/>
          <w:sz w:val="24"/>
          <w:szCs w:val="24"/>
        </w:rPr>
      </w:pPr>
    </w:p>
    <w:p w14:paraId="08510C31" w14:textId="0D6724FF" w:rsidR="00E150DA" w:rsidRDefault="00E150DA" w:rsidP="00E150DA">
      <w:pPr>
        <w:widowControl w:val="0"/>
        <w:autoSpaceDE w:val="0"/>
        <w:autoSpaceDN w:val="0"/>
        <w:adjustRightInd w:val="0"/>
        <w:spacing w:after="0" w:line="240" w:lineRule="auto"/>
        <w:jc w:val="both"/>
        <w:rPr>
          <w:rFonts w:asciiTheme="majorHAnsi" w:hAnsiTheme="majorHAnsi" w:cstheme="majorHAnsi"/>
          <w:sz w:val="24"/>
          <w:szCs w:val="24"/>
        </w:rPr>
      </w:pPr>
      <w:r w:rsidRPr="00CB6FE6">
        <w:rPr>
          <w:rFonts w:asciiTheme="majorHAnsi" w:hAnsiTheme="majorHAnsi" w:cstheme="majorHAnsi"/>
          <w:b/>
          <w:color w:val="000000"/>
          <w:sz w:val="24"/>
          <w:szCs w:val="24"/>
        </w:rPr>
        <w:t>Results:</w:t>
      </w:r>
      <w:r w:rsidRPr="00CB6FE6">
        <w:rPr>
          <w:rFonts w:asciiTheme="majorHAnsi" w:hAnsiTheme="majorHAnsi" w:cstheme="majorHAnsi"/>
          <w:color w:val="000000"/>
          <w:sz w:val="24"/>
          <w:szCs w:val="24"/>
        </w:rPr>
        <w:t xml:space="preserve"> </w:t>
      </w:r>
      <w:r w:rsidRPr="00CB6FE6">
        <w:rPr>
          <w:rFonts w:asciiTheme="majorHAnsi" w:hAnsiTheme="majorHAnsi" w:cstheme="majorHAnsi"/>
          <w:sz w:val="24"/>
          <w:szCs w:val="24"/>
        </w:rPr>
        <w:t>There was found to be gain weight, placentas and fetuses in the therapeutic group and high dose group compared to stress group. Histology of the placentas showed a greater inflammatory process in high dose group and very high dose group.</w:t>
      </w:r>
    </w:p>
    <w:p w14:paraId="4902F81E" w14:textId="77777777" w:rsidR="00F05506" w:rsidRPr="00CB6FE6" w:rsidRDefault="00F05506" w:rsidP="00E150DA">
      <w:pPr>
        <w:widowControl w:val="0"/>
        <w:autoSpaceDE w:val="0"/>
        <w:autoSpaceDN w:val="0"/>
        <w:adjustRightInd w:val="0"/>
        <w:spacing w:after="0" w:line="240" w:lineRule="auto"/>
        <w:jc w:val="both"/>
        <w:rPr>
          <w:rFonts w:asciiTheme="majorHAnsi" w:hAnsiTheme="majorHAnsi" w:cstheme="majorHAnsi"/>
          <w:color w:val="000000"/>
          <w:sz w:val="24"/>
          <w:szCs w:val="24"/>
        </w:rPr>
      </w:pPr>
    </w:p>
    <w:p w14:paraId="284D6242" w14:textId="11F57A8E" w:rsidR="00E150DA" w:rsidRDefault="00E150DA" w:rsidP="00E150DA">
      <w:pPr>
        <w:widowControl w:val="0"/>
        <w:spacing w:after="0" w:line="240" w:lineRule="auto"/>
        <w:ind w:hanging="2"/>
        <w:jc w:val="both"/>
        <w:rPr>
          <w:rFonts w:asciiTheme="majorHAnsi" w:hAnsiTheme="majorHAnsi" w:cstheme="majorHAnsi"/>
          <w:sz w:val="24"/>
          <w:szCs w:val="24"/>
        </w:rPr>
      </w:pPr>
      <w:r w:rsidRPr="00CB6FE6">
        <w:rPr>
          <w:rFonts w:asciiTheme="majorHAnsi" w:hAnsiTheme="majorHAnsi" w:cstheme="majorHAnsi"/>
          <w:b/>
          <w:color w:val="000000"/>
          <w:sz w:val="24"/>
          <w:szCs w:val="24"/>
        </w:rPr>
        <w:t>Conclusion:</w:t>
      </w:r>
      <w:r w:rsidRPr="00CB6FE6">
        <w:rPr>
          <w:rFonts w:asciiTheme="majorHAnsi" w:hAnsiTheme="majorHAnsi" w:cstheme="majorHAnsi"/>
          <w:color w:val="000000"/>
          <w:sz w:val="24"/>
          <w:szCs w:val="24"/>
        </w:rPr>
        <w:t xml:space="preserve"> </w:t>
      </w:r>
      <w:r w:rsidRPr="00CB6FE6">
        <w:rPr>
          <w:rFonts w:asciiTheme="majorHAnsi" w:hAnsiTheme="majorHAnsi" w:cstheme="majorHAnsi"/>
          <w:sz w:val="24"/>
          <w:szCs w:val="24"/>
        </w:rPr>
        <w:t xml:space="preserve">Since no cases of abortion, embryotoxicity, </w:t>
      </w:r>
      <w:proofErr w:type="spellStart"/>
      <w:r w:rsidRPr="00CB6FE6">
        <w:rPr>
          <w:rFonts w:asciiTheme="majorHAnsi" w:hAnsiTheme="majorHAnsi" w:cstheme="majorHAnsi"/>
          <w:sz w:val="24"/>
          <w:szCs w:val="24"/>
        </w:rPr>
        <w:t>natimortality</w:t>
      </w:r>
      <w:proofErr w:type="spellEnd"/>
      <w:r w:rsidRPr="00CB6FE6">
        <w:rPr>
          <w:rFonts w:asciiTheme="majorHAnsi" w:hAnsiTheme="majorHAnsi" w:cstheme="majorHAnsi"/>
          <w:sz w:val="24"/>
          <w:szCs w:val="24"/>
        </w:rPr>
        <w:t xml:space="preserve"> or teratogenicity were found in the fetuses and histology detected no lesions in the tissues evaluated under therapeutic doses, it is reasonable to conclude that this drug is safe for use in pregnant rats.</w:t>
      </w:r>
    </w:p>
    <w:p w14:paraId="116B6365" w14:textId="77777777" w:rsidR="00F05506" w:rsidRPr="00CB6FE6" w:rsidRDefault="00F05506" w:rsidP="00E150DA">
      <w:pPr>
        <w:widowControl w:val="0"/>
        <w:spacing w:after="0" w:line="240" w:lineRule="auto"/>
        <w:ind w:hanging="2"/>
        <w:jc w:val="both"/>
        <w:rPr>
          <w:rFonts w:asciiTheme="majorHAnsi" w:hAnsiTheme="majorHAnsi" w:cstheme="majorHAnsi"/>
          <w:sz w:val="24"/>
          <w:szCs w:val="24"/>
        </w:rPr>
      </w:pPr>
    </w:p>
    <w:p w14:paraId="3BBF4921" w14:textId="77777777" w:rsidR="00E150DA" w:rsidRPr="00CB6FE6" w:rsidRDefault="00E150DA" w:rsidP="00E150DA">
      <w:pPr>
        <w:widowControl w:val="0"/>
        <w:autoSpaceDE w:val="0"/>
        <w:autoSpaceDN w:val="0"/>
        <w:adjustRightInd w:val="0"/>
        <w:spacing w:after="0" w:line="240" w:lineRule="auto"/>
        <w:jc w:val="both"/>
        <w:rPr>
          <w:rFonts w:asciiTheme="majorHAnsi" w:hAnsiTheme="majorHAnsi" w:cstheme="majorHAnsi"/>
          <w:color w:val="000000"/>
          <w:sz w:val="24"/>
          <w:szCs w:val="24"/>
        </w:rPr>
      </w:pPr>
      <w:r w:rsidRPr="00CB6FE6">
        <w:rPr>
          <w:rFonts w:asciiTheme="majorHAnsi" w:hAnsiTheme="majorHAnsi" w:cstheme="majorHAnsi"/>
          <w:b/>
          <w:bCs/>
          <w:color w:val="000000"/>
          <w:sz w:val="24"/>
          <w:szCs w:val="24"/>
        </w:rPr>
        <w:t>Key words</w:t>
      </w:r>
      <w:r w:rsidRPr="00CB6FE6">
        <w:rPr>
          <w:rFonts w:asciiTheme="majorHAnsi" w:hAnsiTheme="majorHAnsi" w:cstheme="majorHAnsi"/>
          <w:color w:val="000000"/>
          <w:sz w:val="24"/>
          <w:szCs w:val="24"/>
        </w:rPr>
        <w:t xml:space="preserve">: </w:t>
      </w:r>
      <w:r w:rsidRPr="00CB6FE6">
        <w:rPr>
          <w:rFonts w:asciiTheme="majorHAnsi" w:hAnsiTheme="majorHAnsi" w:cstheme="majorHAnsi"/>
          <w:i/>
          <w:iCs/>
          <w:color w:val="000000"/>
          <w:sz w:val="24"/>
          <w:szCs w:val="24"/>
        </w:rPr>
        <w:t>Viscum album</w:t>
      </w:r>
      <w:r w:rsidRPr="00CB6FE6">
        <w:rPr>
          <w:rFonts w:asciiTheme="majorHAnsi" w:hAnsiTheme="majorHAnsi" w:cstheme="majorHAnsi"/>
          <w:color w:val="000000"/>
          <w:sz w:val="24"/>
          <w:szCs w:val="24"/>
        </w:rPr>
        <w:t xml:space="preserve">, </w:t>
      </w:r>
      <w:r w:rsidRPr="00CB6FE6">
        <w:rPr>
          <w:rFonts w:asciiTheme="majorHAnsi" w:hAnsiTheme="majorHAnsi" w:cstheme="majorHAnsi"/>
          <w:i/>
          <w:color w:val="000000"/>
          <w:sz w:val="24"/>
          <w:szCs w:val="24"/>
        </w:rPr>
        <w:t>in vivo</w:t>
      </w:r>
      <w:r w:rsidRPr="00CB6FE6">
        <w:rPr>
          <w:rFonts w:asciiTheme="majorHAnsi" w:hAnsiTheme="majorHAnsi" w:cstheme="majorHAnsi"/>
          <w:color w:val="000000"/>
          <w:sz w:val="24"/>
          <w:szCs w:val="24"/>
        </w:rPr>
        <w:t>, cancer, integrative medicine, pregnancy, safety.</w:t>
      </w:r>
    </w:p>
    <w:p w14:paraId="346557F2" w14:textId="5FD0C9F2" w:rsidR="00E150DA" w:rsidRDefault="00E150DA" w:rsidP="00E150DA">
      <w:pPr>
        <w:widowControl w:val="0"/>
        <w:autoSpaceDE w:val="0"/>
        <w:autoSpaceDN w:val="0"/>
        <w:adjustRightInd w:val="0"/>
        <w:spacing w:after="0" w:line="240" w:lineRule="auto"/>
        <w:jc w:val="both"/>
        <w:rPr>
          <w:rFonts w:asciiTheme="majorHAnsi" w:hAnsiTheme="majorHAnsi" w:cstheme="majorHAnsi"/>
          <w:color w:val="000000"/>
          <w:sz w:val="24"/>
          <w:szCs w:val="24"/>
          <w:vertAlign w:val="superscript"/>
        </w:rPr>
      </w:pPr>
      <w:r w:rsidRPr="00CB6FE6">
        <w:rPr>
          <w:rFonts w:asciiTheme="majorHAnsi" w:hAnsiTheme="majorHAnsi" w:cstheme="majorHAnsi"/>
          <w:color w:val="000000"/>
          <w:sz w:val="24"/>
          <w:szCs w:val="24"/>
        </w:rPr>
        <w:t>João Vitor da Costa Batista</w:t>
      </w:r>
      <w:r w:rsidRPr="00CB6FE6">
        <w:rPr>
          <w:rFonts w:asciiTheme="majorHAnsi" w:hAnsiTheme="majorHAnsi" w:cstheme="majorHAnsi"/>
          <w:color w:val="000000"/>
          <w:sz w:val="24"/>
          <w:szCs w:val="24"/>
          <w:vertAlign w:val="superscript"/>
        </w:rPr>
        <w:t>4</w:t>
      </w:r>
      <w:r w:rsidRPr="00CB6FE6">
        <w:rPr>
          <w:rFonts w:asciiTheme="majorHAnsi" w:hAnsiTheme="majorHAnsi" w:cstheme="majorHAnsi"/>
          <w:color w:val="000000"/>
          <w:sz w:val="24"/>
          <w:szCs w:val="24"/>
        </w:rPr>
        <w:t xml:space="preserve">, </w:t>
      </w:r>
      <w:proofErr w:type="spellStart"/>
      <w:r w:rsidRPr="00CB6FE6">
        <w:rPr>
          <w:rFonts w:asciiTheme="majorHAnsi" w:hAnsiTheme="majorHAnsi" w:cstheme="majorHAnsi"/>
          <w:color w:val="000000"/>
          <w:sz w:val="24"/>
          <w:szCs w:val="24"/>
        </w:rPr>
        <w:t>Mirlene</w:t>
      </w:r>
      <w:proofErr w:type="spellEnd"/>
      <w:r w:rsidRPr="00CB6FE6">
        <w:rPr>
          <w:rFonts w:asciiTheme="majorHAnsi" w:hAnsiTheme="majorHAnsi" w:cstheme="majorHAnsi"/>
          <w:color w:val="000000"/>
          <w:sz w:val="24"/>
          <w:szCs w:val="24"/>
        </w:rPr>
        <w:t xml:space="preserve"> </w:t>
      </w:r>
      <w:proofErr w:type="spellStart"/>
      <w:r w:rsidRPr="00CB6FE6">
        <w:rPr>
          <w:rFonts w:asciiTheme="majorHAnsi" w:hAnsiTheme="majorHAnsi" w:cstheme="majorHAnsi"/>
          <w:color w:val="000000"/>
          <w:sz w:val="24"/>
          <w:szCs w:val="24"/>
        </w:rPr>
        <w:t>Cecília</w:t>
      </w:r>
      <w:proofErr w:type="spellEnd"/>
      <w:r w:rsidRPr="00CB6FE6">
        <w:rPr>
          <w:rFonts w:asciiTheme="majorHAnsi" w:hAnsiTheme="majorHAnsi" w:cstheme="majorHAnsi"/>
          <w:color w:val="000000"/>
          <w:sz w:val="24"/>
          <w:szCs w:val="24"/>
        </w:rPr>
        <w:t xml:space="preserve"> Soares </w:t>
      </w:r>
      <w:proofErr w:type="spellStart"/>
      <w:r w:rsidRPr="00CB6FE6">
        <w:rPr>
          <w:rFonts w:asciiTheme="majorHAnsi" w:hAnsiTheme="majorHAnsi" w:cstheme="majorHAnsi"/>
          <w:color w:val="000000"/>
          <w:sz w:val="24"/>
          <w:szCs w:val="24"/>
        </w:rPr>
        <w:t>Pinho</w:t>
      </w:r>
      <w:proofErr w:type="spellEnd"/>
      <w:r w:rsidRPr="00CB6FE6">
        <w:rPr>
          <w:rFonts w:asciiTheme="majorHAnsi" w:hAnsiTheme="majorHAnsi" w:cstheme="majorHAnsi"/>
          <w:color w:val="000000"/>
          <w:sz w:val="24"/>
          <w:szCs w:val="24"/>
        </w:rPr>
        <w:t xml:space="preserve"> Cernach</w:t>
      </w:r>
      <w:r w:rsidRPr="00CB6FE6">
        <w:rPr>
          <w:rFonts w:asciiTheme="majorHAnsi" w:hAnsiTheme="majorHAnsi" w:cstheme="majorHAnsi"/>
          <w:color w:val="000000"/>
          <w:sz w:val="24"/>
          <w:szCs w:val="24"/>
          <w:vertAlign w:val="superscript"/>
        </w:rPr>
        <w:t>2</w:t>
      </w:r>
      <w:r w:rsidRPr="00CB6FE6">
        <w:rPr>
          <w:rFonts w:asciiTheme="majorHAnsi" w:hAnsiTheme="majorHAnsi" w:cstheme="majorHAnsi"/>
          <w:color w:val="000000"/>
          <w:sz w:val="24"/>
          <w:szCs w:val="24"/>
        </w:rPr>
        <w:t>, Marcia Marcelino de Souza Ishigai</w:t>
      </w:r>
      <w:r w:rsidRPr="00CB6FE6">
        <w:rPr>
          <w:rFonts w:asciiTheme="majorHAnsi" w:hAnsiTheme="majorHAnsi" w:cstheme="majorHAnsi"/>
          <w:color w:val="000000"/>
          <w:sz w:val="24"/>
          <w:szCs w:val="24"/>
          <w:vertAlign w:val="superscript"/>
        </w:rPr>
        <w:t>3</w:t>
      </w:r>
      <w:r w:rsidRPr="00CB6FE6">
        <w:rPr>
          <w:rFonts w:asciiTheme="majorHAnsi" w:hAnsiTheme="majorHAnsi" w:cstheme="majorHAnsi"/>
          <w:color w:val="000000"/>
          <w:sz w:val="24"/>
          <w:szCs w:val="24"/>
        </w:rPr>
        <w:t xml:space="preserve">, Jorge </w:t>
      </w:r>
      <w:proofErr w:type="spellStart"/>
      <w:r w:rsidRPr="00CB6FE6">
        <w:rPr>
          <w:rFonts w:asciiTheme="majorHAnsi" w:hAnsiTheme="majorHAnsi" w:cstheme="majorHAnsi"/>
          <w:color w:val="000000"/>
          <w:sz w:val="24"/>
          <w:szCs w:val="24"/>
        </w:rPr>
        <w:t>Kioshi</w:t>
      </w:r>
      <w:proofErr w:type="spellEnd"/>
      <w:r w:rsidRPr="00CB6FE6">
        <w:rPr>
          <w:rFonts w:asciiTheme="majorHAnsi" w:hAnsiTheme="majorHAnsi" w:cstheme="majorHAnsi"/>
          <w:color w:val="000000"/>
          <w:sz w:val="24"/>
          <w:szCs w:val="24"/>
        </w:rPr>
        <w:t xml:space="preserve"> Hosomi</w:t>
      </w:r>
      <w:r w:rsidRPr="00CB6FE6">
        <w:rPr>
          <w:rFonts w:asciiTheme="majorHAnsi" w:hAnsiTheme="majorHAnsi" w:cstheme="majorHAnsi"/>
          <w:color w:val="000000"/>
          <w:sz w:val="24"/>
          <w:szCs w:val="24"/>
          <w:vertAlign w:val="superscript"/>
        </w:rPr>
        <w:t>2</w:t>
      </w:r>
      <w:r w:rsidRPr="00CB6FE6">
        <w:rPr>
          <w:rFonts w:asciiTheme="majorHAnsi" w:hAnsiTheme="majorHAnsi" w:cstheme="majorHAnsi"/>
          <w:color w:val="000000"/>
          <w:sz w:val="24"/>
          <w:szCs w:val="24"/>
        </w:rPr>
        <w:t>, Manuel de Jesus Simões</w:t>
      </w:r>
      <w:r w:rsidRPr="00CB6FE6">
        <w:rPr>
          <w:rFonts w:asciiTheme="majorHAnsi" w:hAnsiTheme="majorHAnsi" w:cstheme="majorHAnsi"/>
          <w:color w:val="000000"/>
          <w:sz w:val="24"/>
          <w:szCs w:val="24"/>
          <w:vertAlign w:val="superscript"/>
        </w:rPr>
        <w:t>3</w:t>
      </w:r>
      <w:r w:rsidRPr="00CB6FE6">
        <w:rPr>
          <w:rFonts w:asciiTheme="majorHAnsi" w:hAnsiTheme="majorHAnsi" w:cstheme="majorHAnsi"/>
          <w:color w:val="000000"/>
          <w:sz w:val="24"/>
          <w:szCs w:val="24"/>
        </w:rPr>
        <w:t xml:space="preserve">, Luiz </w:t>
      </w:r>
      <w:proofErr w:type="spellStart"/>
      <w:r w:rsidRPr="00CB6FE6">
        <w:rPr>
          <w:rFonts w:asciiTheme="majorHAnsi" w:hAnsiTheme="majorHAnsi" w:cstheme="majorHAnsi"/>
          <w:color w:val="000000"/>
          <w:sz w:val="24"/>
          <w:szCs w:val="24"/>
        </w:rPr>
        <w:t>Kulay</w:t>
      </w:r>
      <w:proofErr w:type="spellEnd"/>
      <w:r w:rsidRPr="00CB6FE6">
        <w:rPr>
          <w:rFonts w:asciiTheme="majorHAnsi" w:hAnsiTheme="majorHAnsi" w:cstheme="majorHAnsi"/>
          <w:color w:val="000000"/>
          <w:sz w:val="24"/>
          <w:szCs w:val="24"/>
        </w:rPr>
        <w:t xml:space="preserve"> Junior</w:t>
      </w:r>
      <w:r w:rsidRPr="00CB6FE6">
        <w:rPr>
          <w:rFonts w:asciiTheme="majorHAnsi" w:hAnsiTheme="majorHAnsi" w:cstheme="majorHAnsi"/>
          <w:color w:val="000000"/>
          <w:sz w:val="24"/>
          <w:szCs w:val="24"/>
          <w:vertAlign w:val="superscript"/>
        </w:rPr>
        <w:t>1</w:t>
      </w:r>
      <w:r w:rsidRPr="00CB6FE6">
        <w:rPr>
          <w:rFonts w:asciiTheme="majorHAnsi" w:hAnsiTheme="majorHAnsi" w:cstheme="majorHAnsi"/>
          <w:color w:val="000000"/>
          <w:sz w:val="24"/>
          <w:szCs w:val="24"/>
        </w:rPr>
        <w:t>, Catharina Delebinski</w:t>
      </w:r>
      <w:r w:rsidRPr="00CB6FE6">
        <w:rPr>
          <w:rFonts w:asciiTheme="majorHAnsi" w:hAnsiTheme="majorHAnsi" w:cstheme="majorHAnsi"/>
          <w:color w:val="000000"/>
          <w:sz w:val="24"/>
          <w:szCs w:val="24"/>
          <w:vertAlign w:val="superscript"/>
        </w:rPr>
        <w:t>5</w:t>
      </w:r>
      <w:r w:rsidRPr="00CB6FE6">
        <w:rPr>
          <w:rFonts w:asciiTheme="majorHAnsi" w:hAnsiTheme="majorHAnsi" w:cstheme="majorHAnsi"/>
          <w:color w:val="000000"/>
          <w:sz w:val="24"/>
          <w:szCs w:val="24"/>
        </w:rPr>
        <w:t>, Georg Seifert</w:t>
      </w:r>
      <w:r w:rsidRPr="00CB6FE6">
        <w:rPr>
          <w:rFonts w:asciiTheme="majorHAnsi" w:hAnsiTheme="majorHAnsi" w:cstheme="majorHAnsi"/>
          <w:color w:val="000000"/>
          <w:sz w:val="24"/>
          <w:szCs w:val="24"/>
          <w:vertAlign w:val="superscript"/>
        </w:rPr>
        <w:t>5</w:t>
      </w:r>
      <w:r w:rsidRPr="00CB6FE6">
        <w:rPr>
          <w:rFonts w:asciiTheme="majorHAnsi" w:hAnsiTheme="majorHAnsi" w:cstheme="majorHAnsi"/>
          <w:color w:val="000000"/>
          <w:sz w:val="24"/>
          <w:szCs w:val="24"/>
        </w:rPr>
        <w:t>, Mary Uchiyama Nakamura</w:t>
      </w:r>
      <w:r w:rsidRPr="00CB6FE6">
        <w:rPr>
          <w:rFonts w:asciiTheme="majorHAnsi" w:hAnsiTheme="majorHAnsi" w:cstheme="majorHAnsi"/>
          <w:color w:val="000000"/>
          <w:sz w:val="24"/>
          <w:szCs w:val="24"/>
          <w:vertAlign w:val="superscript"/>
        </w:rPr>
        <w:t>1</w:t>
      </w:r>
    </w:p>
    <w:p w14:paraId="67E021DA" w14:textId="77777777" w:rsidR="00F05506" w:rsidRPr="00CB6FE6" w:rsidRDefault="00F05506" w:rsidP="00E150DA">
      <w:pPr>
        <w:widowControl w:val="0"/>
        <w:autoSpaceDE w:val="0"/>
        <w:autoSpaceDN w:val="0"/>
        <w:adjustRightInd w:val="0"/>
        <w:spacing w:after="0" w:line="240" w:lineRule="auto"/>
        <w:jc w:val="both"/>
        <w:rPr>
          <w:rFonts w:asciiTheme="majorHAnsi" w:hAnsiTheme="majorHAnsi" w:cstheme="majorHAnsi"/>
          <w:color w:val="000000"/>
          <w:sz w:val="24"/>
          <w:szCs w:val="24"/>
          <w:vertAlign w:val="superscript"/>
        </w:rPr>
      </w:pPr>
    </w:p>
    <w:p w14:paraId="2EEBBA67" w14:textId="77777777" w:rsidR="00E150DA" w:rsidRPr="008C2847" w:rsidRDefault="00E150DA" w:rsidP="00E150DA">
      <w:pPr>
        <w:widowControl w:val="0"/>
        <w:autoSpaceDE w:val="0"/>
        <w:autoSpaceDN w:val="0"/>
        <w:adjustRightInd w:val="0"/>
        <w:spacing w:after="0" w:line="240" w:lineRule="auto"/>
        <w:jc w:val="both"/>
        <w:rPr>
          <w:rFonts w:asciiTheme="majorHAnsi" w:hAnsiTheme="majorHAnsi" w:cstheme="majorHAnsi"/>
          <w:color w:val="000000"/>
          <w:sz w:val="18"/>
          <w:szCs w:val="18"/>
        </w:rPr>
      </w:pPr>
      <w:r w:rsidRPr="008C2847">
        <w:rPr>
          <w:rFonts w:asciiTheme="majorHAnsi" w:hAnsiTheme="majorHAnsi" w:cstheme="majorHAnsi"/>
          <w:i/>
          <w:color w:val="000000"/>
          <w:sz w:val="18"/>
          <w:szCs w:val="18"/>
          <w:vertAlign w:val="superscript"/>
        </w:rPr>
        <w:t>1</w:t>
      </w:r>
      <w:r w:rsidRPr="008C2847">
        <w:rPr>
          <w:rFonts w:asciiTheme="majorHAnsi" w:hAnsiTheme="majorHAnsi" w:cstheme="majorHAnsi"/>
          <w:i/>
          <w:color w:val="000000"/>
          <w:sz w:val="18"/>
          <w:szCs w:val="18"/>
        </w:rPr>
        <w:t xml:space="preserve">Federal University of São Paulo, Department of Obstetrics, São Paulo, Brazil  </w:t>
      </w:r>
    </w:p>
    <w:p w14:paraId="245AD2F1" w14:textId="77777777" w:rsidR="00E150DA" w:rsidRPr="008C2847" w:rsidRDefault="00E150DA" w:rsidP="00E150DA">
      <w:pPr>
        <w:widowControl w:val="0"/>
        <w:autoSpaceDE w:val="0"/>
        <w:autoSpaceDN w:val="0"/>
        <w:adjustRightInd w:val="0"/>
        <w:spacing w:after="0" w:line="240" w:lineRule="auto"/>
        <w:jc w:val="both"/>
        <w:rPr>
          <w:rFonts w:asciiTheme="majorHAnsi" w:hAnsiTheme="majorHAnsi" w:cstheme="majorHAnsi"/>
          <w:color w:val="000000"/>
          <w:sz w:val="18"/>
          <w:szCs w:val="18"/>
        </w:rPr>
      </w:pPr>
      <w:r w:rsidRPr="008C2847">
        <w:rPr>
          <w:rFonts w:asciiTheme="majorHAnsi" w:hAnsiTheme="majorHAnsi" w:cstheme="majorHAnsi"/>
          <w:i/>
          <w:color w:val="000000"/>
          <w:sz w:val="18"/>
          <w:szCs w:val="18"/>
          <w:vertAlign w:val="superscript"/>
        </w:rPr>
        <w:t>2</w:t>
      </w:r>
      <w:r w:rsidRPr="008C2847">
        <w:rPr>
          <w:rFonts w:asciiTheme="majorHAnsi" w:hAnsiTheme="majorHAnsi" w:cstheme="majorHAnsi"/>
          <w:i/>
          <w:color w:val="000000"/>
          <w:sz w:val="18"/>
          <w:szCs w:val="18"/>
        </w:rPr>
        <w:t>Federal University of São Paulo, Department of Morphology and Genetics, São Paulo, Brazil</w:t>
      </w:r>
    </w:p>
    <w:p w14:paraId="4B5B3301" w14:textId="77777777" w:rsidR="00E150DA" w:rsidRPr="008C2847" w:rsidRDefault="00E150DA" w:rsidP="00E150DA">
      <w:pPr>
        <w:widowControl w:val="0"/>
        <w:autoSpaceDE w:val="0"/>
        <w:autoSpaceDN w:val="0"/>
        <w:adjustRightInd w:val="0"/>
        <w:spacing w:after="0" w:line="240" w:lineRule="auto"/>
        <w:jc w:val="both"/>
        <w:rPr>
          <w:rFonts w:asciiTheme="majorHAnsi" w:hAnsiTheme="majorHAnsi" w:cstheme="majorHAnsi"/>
          <w:color w:val="000000"/>
          <w:sz w:val="18"/>
          <w:szCs w:val="18"/>
        </w:rPr>
      </w:pPr>
      <w:r w:rsidRPr="008C2847">
        <w:rPr>
          <w:rFonts w:asciiTheme="majorHAnsi" w:hAnsiTheme="majorHAnsi" w:cstheme="majorHAnsi"/>
          <w:i/>
          <w:color w:val="000000"/>
          <w:sz w:val="18"/>
          <w:szCs w:val="18"/>
          <w:vertAlign w:val="superscript"/>
        </w:rPr>
        <w:t>3</w:t>
      </w:r>
      <w:r w:rsidRPr="008C2847">
        <w:rPr>
          <w:rFonts w:asciiTheme="majorHAnsi" w:hAnsiTheme="majorHAnsi" w:cstheme="majorHAnsi"/>
          <w:i/>
          <w:color w:val="000000"/>
          <w:sz w:val="18"/>
          <w:szCs w:val="18"/>
        </w:rPr>
        <w:t xml:space="preserve"> Federal University of São Paulo, Metabolomics Laboratory, Chemistry Institute, Rio de Janeiro, Brazil</w:t>
      </w:r>
    </w:p>
    <w:p w14:paraId="04C083D6" w14:textId="77777777" w:rsidR="00E150DA" w:rsidRPr="008C2847" w:rsidRDefault="00E150DA" w:rsidP="00E150DA">
      <w:pPr>
        <w:widowControl w:val="0"/>
        <w:autoSpaceDE w:val="0"/>
        <w:autoSpaceDN w:val="0"/>
        <w:adjustRightInd w:val="0"/>
        <w:spacing w:after="0" w:line="240" w:lineRule="auto"/>
        <w:jc w:val="both"/>
        <w:rPr>
          <w:rFonts w:asciiTheme="majorHAnsi" w:hAnsiTheme="majorHAnsi" w:cstheme="majorHAnsi"/>
          <w:color w:val="000000"/>
          <w:sz w:val="18"/>
          <w:szCs w:val="18"/>
        </w:rPr>
      </w:pPr>
      <w:r w:rsidRPr="008C2847">
        <w:rPr>
          <w:rFonts w:asciiTheme="majorHAnsi" w:hAnsiTheme="majorHAnsi" w:cstheme="majorHAnsi"/>
          <w:color w:val="000000"/>
          <w:sz w:val="18"/>
          <w:szCs w:val="18"/>
          <w:vertAlign w:val="superscript"/>
        </w:rPr>
        <w:t>4</w:t>
      </w:r>
      <w:r w:rsidRPr="008C2847">
        <w:rPr>
          <w:rFonts w:asciiTheme="majorHAnsi" w:hAnsiTheme="majorHAnsi" w:cstheme="majorHAnsi"/>
          <w:i/>
          <w:color w:val="000000"/>
          <w:sz w:val="18"/>
          <w:szCs w:val="18"/>
        </w:rPr>
        <w:t>Federal University of Rio de Janeiro, Multidisciplinary Laboratory of Pharmaceutical Sciences, Faculty of Pharmacy, Rio de Janeiro, Brazil</w:t>
      </w:r>
    </w:p>
    <w:p w14:paraId="688E4D61" w14:textId="77777777" w:rsidR="00E150DA" w:rsidRPr="008C2847" w:rsidRDefault="00E150DA" w:rsidP="00E150DA">
      <w:pPr>
        <w:widowControl w:val="0"/>
        <w:autoSpaceDE w:val="0"/>
        <w:autoSpaceDN w:val="0"/>
        <w:adjustRightInd w:val="0"/>
        <w:spacing w:after="0" w:line="240" w:lineRule="auto"/>
        <w:jc w:val="both"/>
        <w:rPr>
          <w:rFonts w:asciiTheme="majorHAnsi" w:hAnsiTheme="majorHAnsi" w:cstheme="majorHAnsi"/>
          <w:color w:val="000000"/>
          <w:sz w:val="18"/>
          <w:szCs w:val="18"/>
        </w:rPr>
      </w:pPr>
      <w:r w:rsidRPr="008C2847">
        <w:rPr>
          <w:rFonts w:asciiTheme="majorHAnsi" w:hAnsiTheme="majorHAnsi" w:cstheme="majorHAnsi"/>
          <w:color w:val="000000"/>
          <w:sz w:val="18"/>
          <w:szCs w:val="18"/>
          <w:vertAlign w:val="superscript"/>
        </w:rPr>
        <w:t>5</w:t>
      </w:r>
      <w:r w:rsidRPr="008C2847">
        <w:rPr>
          <w:rFonts w:asciiTheme="majorHAnsi" w:hAnsiTheme="majorHAnsi" w:cstheme="majorHAnsi"/>
          <w:i/>
          <w:color w:val="000000"/>
          <w:sz w:val="18"/>
          <w:szCs w:val="18"/>
        </w:rPr>
        <w:t xml:space="preserve">Charité </w:t>
      </w:r>
      <w:proofErr w:type="spellStart"/>
      <w:r w:rsidRPr="008C2847">
        <w:rPr>
          <w:rFonts w:asciiTheme="majorHAnsi" w:hAnsiTheme="majorHAnsi" w:cstheme="majorHAnsi"/>
          <w:i/>
          <w:color w:val="000000"/>
          <w:sz w:val="18"/>
          <w:szCs w:val="18"/>
        </w:rPr>
        <w:t>Universitätsmedizin</w:t>
      </w:r>
      <w:proofErr w:type="spellEnd"/>
      <w:r w:rsidRPr="008C2847">
        <w:rPr>
          <w:rFonts w:asciiTheme="majorHAnsi" w:hAnsiTheme="majorHAnsi" w:cstheme="majorHAnsi"/>
          <w:i/>
          <w:color w:val="000000"/>
          <w:sz w:val="18"/>
          <w:szCs w:val="18"/>
        </w:rPr>
        <w:t xml:space="preserve">, Department of Pediatrics, Division of Oncology and Hematology, Berlin, </w:t>
      </w:r>
      <w:proofErr w:type="spellStart"/>
      <w:r w:rsidRPr="008C2847">
        <w:rPr>
          <w:rFonts w:asciiTheme="majorHAnsi" w:hAnsiTheme="majorHAnsi" w:cstheme="majorHAnsi"/>
          <w:i/>
          <w:color w:val="000000"/>
          <w:sz w:val="18"/>
          <w:szCs w:val="18"/>
        </w:rPr>
        <w:t>Germanny</w:t>
      </w:r>
      <w:proofErr w:type="spellEnd"/>
      <w:r w:rsidRPr="008C2847">
        <w:rPr>
          <w:rFonts w:asciiTheme="majorHAnsi" w:hAnsiTheme="majorHAnsi" w:cstheme="majorHAnsi"/>
          <w:color w:val="000000"/>
          <w:sz w:val="18"/>
          <w:szCs w:val="18"/>
          <w:vertAlign w:val="superscript"/>
        </w:rPr>
        <w:t>*</w:t>
      </w:r>
    </w:p>
    <w:p w14:paraId="363B7B9F" w14:textId="77777777" w:rsidR="00E150DA" w:rsidRPr="008C2847" w:rsidRDefault="00E150DA" w:rsidP="00E150DA">
      <w:pPr>
        <w:widowControl w:val="0"/>
        <w:autoSpaceDE w:val="0"/>
        <w:autoSpaceDN w:val="0"/>
        <w:adjustRightInd w:val="0"/>
        <w:spacing w:after="240" w:line="360" w:lineRule="auto"/>
        <w:jc w:val="both"/>
        <w:rPr>
          <w:rFonts w:asciiTheme="majorHAnsi" w:hAnsiTheme="majorHAnsi" w:cstheme="majorHAnsi"/>
          <w:color w:val="000000"/>
        </w:rPr>
      </w:pPr>
    </w:p>
    <w:p w14:paraId="5C5DF2C6"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B2101A"/>
    <w:multiLevelType w:val="hybridMultilevel"/>
    <w:tmpl w:val="E968DDB4"/>
    <w:lvl w:ilvl="0" w:tplc="1E38CFE4">
      <w:start w:val="3"/>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5D3F7A39"/>
    <w:multiLevelType w:val="hybridMultilevel"/>
    <w:tmpl w:val="C8C6E9D8"/>
    <w:lvl w:ilvl="0" w:tplc="A7CE0518">
      <w:start w:val="1"/>
      <w:numFmt w:val="decimal"/>
      <w:lvlText w:val="%1)"/>
      <w:lvlJc w:val="left"/>
      <w:pPr>
        <w:ind w:left="1890" w:hanging="360"/>
      </w:pPr>
      <w:rPr>
        <w:rFonts w:hint="default"/>
        <w:b/>
        <w:bCs/>
        <w:i w:val="0"/>
        <w:iCs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DA"/>
    <w:rsid w:val="007825E3"/>
    <w:rsid w:val="009134EA"/>
    <w:rsid w:val="00E150DA"/>
    <w:rsid w:val="00F0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3F90"/>
  <w15:chartTrackingRefBased/>
  <w15:docId w15:val="{744EE547-58F3-46CE-997F-905EEA91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2020-10-19T17:19:00Z</dcterms:created>
  <dcterms:modified xsi:type="dcterms:W3CDTF">2020-10-19T17:49:00Z</dcterms:modified>
</cp:coreProperties>
</file>