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B2743" w14:textId="7BF21B31" w:rsidR="003440D2" w:rsidRPr="003440D2" w:rsidRDefault="003440D2" w:rsidP="003440D2">
      <w:pPr>
        <w:pStyle w:val="ListParagraph"/>
        <w:numPr>
          <w:ilvl w:val="0"/>
          <w:numId w:val="3"/>
        </w:numPr>
        <w:jc w:val="center"/>
        <w:rPr>
          <w:rFonts w:cstheme="minorHAnsi"/>
          <w:b/>
          <w:iCs/>
          <w:sz w:val="24"/>
          <w:szCs w:val="24"/>
        </w:rPr>
      </w:pPr>
      <w:r w:rsidRPr="003440D2">
        <w:rPr>
          <w:rFonts w:cstheme="minorHAnsi"/>
          <w:b/>
          <w:iCs/>
          <w:sz w:val="24"/>
          <w:szCs w:val="24"/>
        </w:rPr>
        <w:t>International Center for indigenous Phytotherapy studies (TICIPS) RCTs in South Africa</w:t>
      </w:r>
    </w:p>
    <w:p w14:paraId="0AFE352C" w14:textId="77777777" w:rsidR="003440D2" w:rsidRPr="003440D2" w:rsidRDefault="003440D2" w:rsidP="003440D2">
      <w:pPr>
        <w:ind w:left="720"/>
        <w:contextualSpacing/>
        <w:jc w:val="center"/>
        <w:rPr>
          <w:rFonts w:cstheme="minorHAnsi"/>
          <w:b/>
          <w:iCs/>
          <w:sz w:val="24"/>
          <w:szCs w:val="24"/>
        </w:rPr>
      </w:pPr>
    </w:p>
    <w:p w14:paraId="554A87F7" w14:textId="315A054F" w:rsidR="003440D2" w:rsidRDefault="003440D2" w:rsidP="003440D2">
      <w:pPr>
        <w:ind w:left="720"/>
        <w:contextualSpacing/>
        <w:jc w:val="center"/>
        <w:rPr>
          <w:rFonts w:cstheme="minorHAnsi"/>
          <w:b/>
          <w:bCs/>
          <w:sz w:val="24"/>
          <w:szCs w:val="24"/>
        </w:rPr>
      </w:pPr>
      <w:r w:rsidRPr="003440D2">
        <w:rPr>
          <w:rFonts w:cstheme="minorHAnsi"/>
          <w:b/>
          <w:bCs/>
          <w:sz w:val="24"/>
          <w:szCs w:val="24"/>
        </w:rPr>
        <w:t>Global Approaches of Integrative Oncology</w:t>
      </w:r>
    </w:p>
    <w:p w14:paraId="658A6CEE" w14:textId="77777777" w:rsidR="003440D2" w:rsidRPr="003440D2" w:rsidRDefault="003440D2" w:rsidP="003440D2">
      <w:pPr>
        <w:ind w:left="720"/>
        <w:contextualSpacing/>
        <w:jc w:val="center"/>
        <w:rPr>
          <w:rFonts w:cstheme="minorHAnsi"/>
          <w:sz w:val="24"/>
          <w:szCs w:val="24"/>
        </w:rPr>
      </w:pPr>
    </w:p>
    <w:p w14:paraId="274EE44D" w14:textId="77777777" w:rsidR="003440D2" w:rsidRPr="003440D2" w:rsidRDefault="003440D2" w:rsidP="003440D2">
      <w:pPr>
        <w:rPr>
          <w:rFonts w:cstheme="minorHAnsi"/>
          <w:sz w:val="24"/>
          <w:szCs w:val="24"/>
        </w:rPr>
      </w:pPr>
      <w:r w:rsidRPr="003440D2">
        <w:rPr>
          <w:rFonts w:cstheme="minorHAnsi"/>
          <w:iCs/>
          <w:sz w:val="24"/>
          <w:szCs w:val="24"/>
        </w:rPr>
        <w:t xml:space="preserve">T/CAM phytotherapies with </w:t>
      </w:r>
      <w:proofErr w:type="spellStart"/>
      <w:r w:rsidRPr="003440D2">
        <w:rPr>
          <w:rFonts w:cstheme="minorHAnsi"/>
          <w:i/>
          <w:iCs/>
          <w:sz w:val="24"/>
          <w:szCs w:val="24"/>
        </w:rPr>
        <w:t>Sutherlandia</w:t>
      </w:r>
      <w:proofErr w:type="spellEnd"/>
      <w:r w:rsidRPr="003440D2">
        <w:rPr>
          <w:rFonts w:cstheme="minorHAnsi"/>
          <w:i/>
          <w:iCs/>
          <w:sz w:val="24"/>
          <w:szCs w:val="24"/>
        </w:rPr>
        <w:t xml:space="preserve"> frutescens </w:t>
      </w:r>
      <w:r w:rsidRPr="003440D2">
        <w:rPr>
          <w:rFonts w:cstheme="minorHAnsi"/>
          <w:sz w:val="24"/>
          <w:szCs w:val="24"/>
        </w:rPr>
        <w:t xml:space="preserve">are used in southern Africa for multiple health conditions, including cancers, infections, diabetes, stress, etc. Preclinical studies indicate interactions occur with pathways pertinent oxidative stress, inflammation, immunity, tumorigenesis, </w:t>
      </w:r>
      <w:proofErr w:type="gramStart"/>
      <w:r w:rsidRPr="003440D2">
        <w:rPr>
          <w:rFonts w:cstheme="minorHAnsi"/>
          <w:sz w:val="24"/>
          <w:szCs w:val="24"/>
        </w:rPr>
        <w:t>lipid</w:t>
      </w:r>
      <w:proofErr w:type="gramEnd"/>
      <w:r w:rsidRPr="003440D2">
        <w:rPr>
          <w:rFonts w:cstheme="minorHAnsi"/>
          <w:sz w:val="24"/>
          <w:szCs w:val="24"/>
        </w:rPr>
        <w:t xml:space="preserve"> and steroid metabolism, etc. As a foundation for clinical studies of efficacy, two RCTs were conducted to: i) assess whether consumption of </w:t>
      </w:r>
      <w:r w:rsidRPr="003440D2">
        <w:rPr>
          <w:rFonts w:cstheme="minorHAnsi"/>
          <w:i/>
          <w:sz w:val="24"/>
          <w:szCs w:val="24"/>
        </w:rPr>
        <w:t>S. frutescens</w:t>
      </w:r>
      <w:r w:rsidRPr="003440D2">
        <w:rPr>
          <w:rFonts w:cstheme="minorHAnsi"/>
          <w:sz w:val="24"/>
          <w:szCs w:val="24"/>
        </w:rPr>
        <w:t xml:space="preserve"> by healthy or HIV infected adults causes adverse events; affects HIV or other infections; alters hematologic, physical or psychological parameters; ii) develop (with the South Africa Medical Research Council (MRC) and Medicines Control Council (MCC))norms for safe and rigorous RCTs of T/CAM phytotherapies; and iii) promote communication and partnerships between allopathic and traditional medical providers. </w:t>
      </w:r>
    </w:p>
    <w:p w14:paraId="18992216" w14:textId="77777777" w:rsidR="003440D2" w:rsidRPr="003440D2" w:rsidRDefault="003440D2" w:rsidP="003440D2">
      <w:pPr>
        <w:autoSpaceDE w:val="0"/>
        <w:autoSpaceDN w:val="0"/>
        <w:adjustRightInd w:val="0"/>
        <w:ind w:firstLine="360"/>
        <w:rPr>
          <w:rFonts w:cstheme="minorHAnsi"/>
          <w:sz w:val="24"/>
          <w:szCs w:val="24"/>
        </w:rPr>
      </w:pPr>
      <w:r w:rsidRPr="003440D2">
        <w:rPr>
          <w:rFonts w:cstheme="minorHAnsi"/>
          <w:sz w:val="24"/>
          <w:szCs w:val="24"/>
        </w:rPr>
        <w:t xml:space="preserve">One trial (1) randomized 12 subjects to a treatment arm of </w:t>
      </w:r>
      <w:r w:rsidRPr="003440D2">
        <w:rPr>
          <w:rFonts w:cstheme="minorHAnsi"/>
          <w:i/>
          <w:sz w:val="24"/>
          <w:szCs w:val="24"/>
        </w:rPr>
        <w:t>S. frutescens</w:t>
      </w:r>
      <w:r w:rsidRPr="003440D2">
        <w:rPr>
          <w:rFonts w:cstheme="minorHAnsi"/>
          <w:sz w:val="24"/>
          <w:szCs w:val="24"/>
        </w:rPr>
        <w:t xml:space="preserve"> (800 mg/bid) and a placebo arm of 13 subjects for 3 months. No significant differences in adverse events or physical, vital blood, and biomarker indices were observed; however, treatment subjects reported improved appetite, as had been reported anecdotally. The second trial (2) used an adaptive two-stage design: In Stage 1, 56 participants were randomized to plant leaf powder (400, 800 or 1,200 mg bid) or placebo for 24 weeks. In Stage 2, 77 additional subjects were randomized to either 1,200 mg bid or placebo. Final analysis included data of 107 participants in both stages. Results: </w:t>
      </w:r>
      <w:r w:rsidRPr="003440D2">
        <w:rPr>
          <w:rFonts w:cstheme="minorHAnsi"/>
          <w:i/>
          <w:iCs/>
          <w:sz w:val="24"/>
          <w:szCs w:val="24"/>
        </w:rPr>
        <w:t xml:space="preserve">S. frutescens </w:t>
      </w:r>
      <w:r w:rsidRPr="003440D2">
        <w:rPr>
          <w:rFonts w:cstheme="minorHAnsi"/>
          <w:sz w:val="24"/>
          <w:szCs w:val="24"/>
        </w:rPr>
        <w:t>did not affect HIV viral load or CD4 T-lymphocyte count; however, mean and total burden of infection was greater in the treatment</w:t>
      </w:r>
      <w:r w:rsidRPr="003440D2">
        <w:rPr>
          <w:rFonts w:cstheme="minorHAnsi"/>
          <w:i/>
          <w:iCs/>
          <w:sz w:val="24"/>
          <w:szCs w:val="24"/>
        </w:rPr>
        <w:t xml:space="preserve"> </w:t>
      </w:r>
      <w:r w:rsidRPr="003440D2">
        <w:rPr>
          <w:rFonts w:cstheme="minorHAnsi"/>
          <w:sz w:val="24"/>
          <w:szCs w:val="24"/>
        </w:rPr>
        <w:t xml:space="preserve">arm; and notably to two active tuberculosis cases in subjects taking isoniazid preventive therapy (IPT). The possible interaction between </w:t>
      </w:r>
      <w:r w:rsidRPr="003440D2">
        <w:rPr>
          <w:rFonts w:cstheme="minorHAnsi"/>
          <w:i/>
          <w:iCs/>
          <w:sz w:val="24"/>
          <w:szCs w:val="24"/>
        </w:rPr>
        <w:t xml:space="preserve">S. frutescens </w:t>
      </w:r>
      <w:r w:rsidRPr="003440D2">
        <w:rPr>
          <w:rFonts w:cstheme="minorHAnsi"/>
          <w:sz w:val="24"/>
          <w:szCs w:val="24"/>
        </w:rPr>
        <w:t xml:space="preserve">and IPT is being evaluated in cell culture and animal </w:t>
      </w:r>
      <w:proofErr w:type="gramStart"/>
      <w:r w:rsidRPr="003440D2">
        <w:rPr>
          <w:rFonts w:cstheme="minorHAnsi"/>
          <w:sz w:val="24"/>
          <w:szCs w:val="24"/>
        </w:rPr>
        <w:t>studies, and</w:t>
      </w:r>
      <w:proofErr w:type="gramEnd"/>
      <w:r w:rsidRPr="003440D2">
        <w:rPr>
          <w:rFonts w:cstheme="minorHAnsi"/>
          <w:sz w:val="24"/>
          <w:szCs w:val="24"/>
        </w:rPr>
        <w:t xml:space="preserve"> may presage antagonistic interactions with IPT for other botanicals (3).</w:t>
      </w:r>
    </w:p>
    <w:p w14:paraId="45BD5DBD" w14:textId="77777777" w:rsidR="003440D2" w:rsidRPr="003440D2" w:rsidRDefault="003440D2" w:rsidP="003440D2">
      <w:pPr>
        <w:numPr>
          <w:ilvl w:val="0"/>
          <w:numId w:val="2"/>
        </w:numPr>
        <w:spacing w:after="0" w:line="240" w:lineRule="auto"/>
        <w:rPr>
          <w:rFonts w:cstheme="minorHAnsi"/>
          <w:color w:val="000000"/>
          <w:sz w:val="18"/>
          <w:szCs w:val="18"/>
          <w:lang w:val="fr-FR"/>
        </w:rPr>
      </w:pPr>
      <w:r w:rsidRPr="003440D2">
        <w:rPr>
          <w:rFonts w:cstheme="minorHAnsi"/>
          <w:sz w:val="18"/>
          <w:szCs w:val="18"/>
        </w:rPr>
        <w:t xml:space="preserve">Johnson et al (2007) A </w:t>
      </w:r>
      <w:proofErr w:type="spellStart"/>
      <w:r w:rsidRPr="003440D2">
        <w:rPr>
          <w:rFonts w:cstheme="minorHAnsi"/>
          <w:sz w:val="18"/>
          <w:szCs w:val="18"/>
        </w:rPr>
        <w:t>randomised</w:t>
      </w:r>
      <w:proofErr w:type="spellEnd"/>
      <w:r w:rsidRPr="003440D2">
        <w:rPr>
          <w:rFonts w:cstheme="minorHAnsi"/>
          <w:sz w:val="18"/>
          <w:szCs w:val="18"/>
        </w:rPr>
        <w:t xml:space="preserve">, double-blind, placebo-controlled Phase 1 Trial of </w:t>
      </w:r>
      <w:proofErr w:type="spellStart"/>
      <w:r w:rsidRPr="003440D2">
        <w:rPr>
          <w:rFonts w:cstheme="minorHAnsi"/>
          <w:i/>
          <w:sz w:val="18"/>
          <w:szCs w:val="18"/>
        </w:rPr>
        <w:t>Lessertia</w:t>
      </w:r>
      <w:proofErr w:type="spellEnd"/>
      <w:r w:rsidRPr="003440D2">
        <w:rPr>
          <w:rFonts w:cstheme="minorHAnsi"/>
          <w:i/>
          <w:sz w:val="18"/>
          <w:szCs w:val="18"/>
        </w:rPr>
        <w:t xml:space="preserve"> frutescens</w:t>
      </w:r>
      <w:r w:rsidRPr="003440D2">
        <w:rPr>
          <w:rFonts w:cstheme="minorHAnsi"/>
          <w:sz w:val="18"/>
          <w:szCs w:val="18"/>
        </w:rPr>
        <w:t xml:space="preserve"> in healthy </w:t>
      </w:r>
      <w:proofErr w:type="spellStart"/>
      <w:r w:rsidRPr="003440D2">
        <w:rPr>
          <w:rFonts w:cstheme="minorHAnsi"/>
          <w:sz w:val="18"/>
          <w:szCs w:val="18"/>
          <w:lang w:val="fr-FR"/>
        </w:rPr>
        <w:t>adults</w:t>
      </w:r>
      <w:proofErr w:type="spellEnd"/>
      <w:r w:rsidRPr="003440D2">
        <w:rPr>
          <w:rFonts w:cstheme="minorHAnsi"/>
          <w:sz w:val="18"/>
          <w:szCs w:val="18"/>
          <w:lang w:val="fr-FR"/>
        </w:rPr>
        <w:t xml:space="preserve">.  </w:t>
      </w:r>
      <w:proofErr w:type="spellStart"/>
      <w:r w:rsidRPr="003440D2">
        <w:rPr>
          <w:rFonts w:cstheme="minorHAnsi"/>
          <w:i/>
          <w:iCs/>
          <w:color w:val="000000"/>
          <w:sz w:val="18"/>
          <w:szCs w:val="18"/>
          <w:lang w:val="fr-FR"/>
        </w:rPr>
        <w:t>PLoS</w:t>
      </w:r>
      <w:proofErr w:type="spellEnd"/>
      <w:r w:rsidRPr="003440D2">
        <w:rPr>
          <w:rFonts w:cstheme="minorHAnsi"/>
          <w:i/>
          <w:iCs/>
          <w:color w:val="000000"/>
          <w:sz w:val="18"/>
          <w:szCs w:val="18"/>
          <w:lang w:val="fr-FR"/>
        </w:rPr>
        <w:t xml:space="preserve"> </w:t>
      </w:r>
      <w:proofErr w:type="spellStart"/>
      <w:r w:rsidRPr="003440D2">
        <w:rPr>
          <w:rFonts w:cstheme="minorHAnsi"/>
          <w:i/>
          <w:iCs/>
          <w:color w:val="000000"/>
          <w:sz w:val="18"/>
          <w:szCs w:val="18"/>
          <w:lang w:val="fr-FR"/>
        </w:rPr>
        <w:t>Clinical</w:t>
      </w:r>
      <w:proofErr w:type="spellEnd"/>
      <w:r w:rsidRPr="003440D2">
        <w:rPr>
          <w:rFonts w:cstheme="minorHAnsi"/>
          <w:i/>
          <w:iCs/>
          <w:color w:val="000000"/>
          <w:sz w:val="18"/>
          <w:szCs w:val="18"/>
          <w:lang w:val="fr-FR"/>
        </w:rPr>
        <w:t xml:space="preserve"> Trials</w:t>
      </w:r>
      <w:r w:rsidRPr="003440D2">
        <w:rPr>
          <w:rFonts w:cstheme="minorHAnsi"/>
          <w:color w:val="000000"/>
          <w:sz w:val="18"/>
          <w:szCs w:val="18"/>
          <w:lang w:val="fr-FR"/>
        </w:rPr>
        <w:t xml:space="preserve"> 2 : e16.   </w:t>
      </w:r>
      <w:r w:rsidRPr="003440D2">
        <w:rPr>
          <w:rFonts w:cstheme="minorHAnsi"/>
          <w:sz w:val="18"/>
          <w:szCs w:val="18"/>
        </w:rPr>
        <w:t xml:space="preserve">PMC1863514. </w:t>
      </w:r>
      <w:r w:rsidRPr="003440D2">
        <w:rPr>
          <w:rFonts w:cstheme="minorHAnsi"/>
          <w:color w:val="000000"/>
          <w:sz w:val="18"/>
          <w:szCs w:val="18"/>
          <w:lang w:val="fr-FR"/>
        </w:rPr>
        <w:t xml:space="preserve">   </w:t>
      </w:r>
    </w:p>
    <w:p w14:paraId="0CC1FAE6" w14:textId="77777777" w:rsidR="003440D2" w:rsidRPr="003440D2" w:rsidRDefault="003440D2" w:rsidP="003440D2">
      <w:pPr>
        <w:numPr>
          <w:ilvl w:val="0"/>
          <w:numId w:val="2"/>
        </w:numPr>
        <w:pBdr>
          <w:top w:val="nil"/>
          <w:left w:val="nil"/>
          <w:bottom w:val="nil"/>
          <w:right w:val="nil"/>
          <w:between w:val="nil"/>
          <w:bar w:val="nil"/>
        </w:pBdr>
        <w:tabs>
          <w:tab w:val="left" w:pos="720"/>
          <w:tab w:val="left" w:pos="1080"/>
        </w:tabs>
        <w:spacing w:after="0" w:line="240" w:lineRule="auto"/>
        <w:rPr>
          <w:rFonts w:eastAsia="Arial Unicode MS" w:cstheme="minorHAnsi"/>
          <w:color w:val="000000"/>
          <w:sz w:val="18"/>
          <w:szCs w:val="18"/>
          <w:u w:color="000000"/>
          <w:bdr w:val="none" w:sz="0" w:space="0" w:color="auto" w:frame="1"/>
          <w:lang w:bidi="lo-LA"/>
        </w:rPr>
      </w:pPr>
      <w:r w:rsidRPr="003440D2">
        <w:rPr>
          <w:rFonts w:eastAsia="Arial Unicode MS" w:cstheme="minorHAnsi"/>
          <w:color w:val="000000"/>
          <w:sz w:val="18"/>
          <w:szCs w:val="18"/>
          <w:u w:color="000000"/>
          <w:bdr w:val="none" w:sz="0" w:space="0" w:color="auto" w:frame="1"/>
          <w:lang w:bidi="lo-LA"/>
        </w:rPr>
        <w:t>Wilson et al (2015</w:t>
      </w:r>
      <w:proofErr w:type="gramStart"/>
      <w:r w:rsidRPr="003440D2">
        <w:rPr>
          <w:rFonts w:eastAsia="Arial Unicode MS" w:cstheme="minorHAnsi"/>
          <w:color w:val="000000"/>
          <w:sz w:val="18"/>
          <w:szCs w:val="18"/>
          <w:u w:color="000000"/>
          <w:bdr w:val="none" w:sz="0" w:space="0" w:color="auto" w:frame="1"/>
          <w:lang w:bidi="lo-LA"/>
        </w:rPr>
        <w:t>)  Consumption</w:t>
      </w:r>
      <w:proofErr w:type="gramEnd"/>
      <w:r w:rsidRPr="003440D2">
        <w:rPr>
          <w:rFonts w:eastAsia="Arial Unicode MS" w:cstheme="minorHAnsi"/>
          <w:color w:val="000000"/>
          <w:sz w:val="18"/>
          <w:szCs w:val="18"/>
          <w:u w:color="000000"/>
          <w:bdr w:val="none" w:sz="0" w:space="0" w:color="auto" w:frame="1"/>
          <w:lang w:bidi="lo-LA"/>
        </w:rPr>
        <w:t xml:space="preserve"> of </w:t>
      </w:r>
      <w:proofErr w:type="spellStart"/>
      <w:r w:rsidRPr="003440D2">
        <w:rPr>
          <w:rFonts w:eastAsia="Arial Unicode MS" w:cstheme="minorHAnsi"/>
          <w:i/>
          <w:color w:val="000000"/>
          <w:sz w:val="18"/>
          <w:szCs w:val="18"/>
          <w:u w:color="000000"/>
          <w:bdr w:val="none" w:sz="0" w:space="0" w:color="auto" w:frame="1"/>
          <w:lang w:bidi="lo-LA"/>
        </w:rPr>
        <w:t>Sutherlandia</w:t>
      </w:r>
      <w:proofErr w:type="spellEnd"/>
      <w:r w:rsidRPr="003440D2">
        <w:rPr>
          <w:rFonts w:eastAsia="Arial Unicode MS" w:cstheme="minorHAnsi"/>
          <w:i/>
          <w:color w:val="000000"/>
          <w:sz w:val="18"/>
          <w:szCs w:val="18"/>
          <w:u w:color="000000"/>
          <w:bdr w:val="none" w:sz="0" w:space="0" w:color="auto" w:frame="1"/>
          <w:lang w:bidi="lo-LA"/>
        </w:rPr>
        <w:t xml:space="preserve"> frutescens</w:t>
      </w:r>
      <w:r w:rsidRPr="003440D2">
        <w:rPr>
          <w:rFonts w:eastAsia="Arial Unicode MS" w:cstheme="minorHAnsi"/>
          <w:color w:val="000000"/>
          <w:sz w:val="18"/>
          <w:szCs w:val="18"/>
          <w:u w:color="000000"/>
          <w:bdr w:val="none" w:sz="0" w:space="0" w:color="auto" w:frame="1"/>
          <w:lang w:bidi="lo-LA"/>
        </w:rPr>
        <w:t xml:space="preserve"> by </w:t>
      </w:r>
    </w:p>
    <w:p w14:paraId="08C2F7DD" w14:textId="77777777" w:rsidR="003440D2" w:rsidRPr="003440D2" w:rsidRDefault="003440D2" w:rsidP="003440D2">
      <w:pPr>
        <w:keepNext/>
        <w:keepLines/>
        <w:numPr>
          <w:ilvl w:val="1"/>
          <w:numId w:val="2"/>
        </w:numPr>
        <w:tabs>
          <w:tab w:val="left" w:pos="720"/>
          <w:tab w:val="left" w:pos="1080"/>
        </w:tabs>
        <w:spacing w:after="0" w:line="240" w:lineRule="auto"/>
        <w:outlineLvl w:val="0"/>
        <w:rPr>
          <w:rFonts w:eastAsiaTheme="majorEastAsia" w:cstheme="minorHAnsi"/>
          <w:bCs/>
          <w:color w:val="2F5496" w:themeColor="accent1" w:themeShade="BF"/>
          <w:sz w:val="18"/>
          <w:szCs w:val="18"/>
        </w:rPr>
      </w:pPr>
      <w:r w:rsidRPr="003440D2">
        <w:rPr>
          <w:rFonts w:eastAsiaTheme="majorEastAsia" w:cstheme="minorHAnsi"/>
          <w:bCs/>
          <w:color w:val="2F5496" w:themeColor="accent1" w:themeShade="BF"/>
          <w:sz w:val="18"/>
          <w:szCs w:val="18"/>
        </w:rPr>
        <w:t xml:space="preserve">HIV-seropositive South African adults: an adaptive double-blind randomized </w:t>
      </w:r>
      <w:proofErr w:type="gramStart"/>
      <w:r w:rsidRPr="003440D2">
        <w:rPr>
          <w:rFonts w:eastAsiaTheme="majorEastAsia" w:cstheme="minorHAnsi"/>
          <w:bCs/>
          <w:color w:val="2F5496" w:themeColor="accent1" w:themeShade="BF"/>
          <w:sz w:val="18"/>
          <w:szCs w:val="18"/>
        </w:rPr>
        <w:t>placebo controlled</w:t>
      </w:r>
      <w:proofErr w:type="gramEnd"/>
      <w:r w:rsidRPr="003440D2">
        <w:rPr>
          <w:rFonts w:eastAsiaTheme="majorEastAsia" w:cstheme="minorHAnsi"/>
          <w:bCs/>
          <w:color w:val="2F5496" w:themeColor="accent1" w:themeShade="BF"/>
          <w:sz w:val="18"/>
          <w:szCs w:val="18"/>
        </w:rPr>
        <w:t xml:space="preserve"> trial.  </w:t>
      </w:r>
      <w:proofErr w:type="spellStart"/>
      <w:r w:rsidRPr="003440D2">
        <w:rPr>
          <w:rFonts w:eastAsiaTheme="majorEastAsia" w:cstheme="minorHAnsi"/>
          <w:bCs/>
          <w:i/>
          <w:color w:val="2F5496" w:themeColor="accent1" w:themeShade="BF"/>
          <w:sz w:val="18"/>
          <w:szCs w:val="18"/>
        </w:rPr>
        <w:t>PloS</w:t>
      </w:r>
      <w:proofErr w:type="spellEnd"/>
      <w:r w:rsidRPr="003440D2">
        <w:rPr>
          <w:rFonts w:eastAsiaTheme="majorEastAsia" w:cstheme="minorHAnsi"/>
          <w:bCs/>
          <w:i/>
          <w:color w:val="2F5496" w:themeColor="accent1" w:themeShade="BF"/>
          <w:sz w:val="18"/>
          <w:szCs w:val="18"/>
        </w:rPr>
        <w:t xml:space="preserve"> One</w:t>
      </w:r>
      <w:r w:rsidRPr="003440D2">
        <w:rPr>
          <w:rFonts w:eastAsiaTheme="majorEastAsia" w:cstheme="minorHAnsi"/>
          <w:bCs/>
          <w:color w:val="2F5496" w:themeColor="accent1" w:themeShade="BF"/>
          <w:sz w:val="18"/>
          <w:szCs w:val="18"/>
        </w:rPr>
        <w:t xml:space="preserve"> 10(7</w:t>
      </w:r>
      <w:proofErr w:type="gramStart"/>
      <w:r w:rsidRPr="003440D2">
        <w:rPr>
          <w:rFonts w:eastAsiaTheme="majorEastAsia" w:cstheme="minorHAnsi"/>
          <w:bCs/>
          <w:color w:val="2F5496" w:themeColor="accent1" w:themeShade="BF"/>
          <w:sz w:val="18"/>
          <w:szCs w:val="18"/>
        </w:rPr>
        <w:t>):e</w:t>
      </w:r>
      <w:proofErr w:type="gramEnd"/>
      <w:r w:rsidRPr="003440D2">
        <w:rPr>
          <w:rFonts w:eastAsiaTheme="majorEastAsia" w:cstheme="minorHAnsi"/>
          <w:bCs/>
          <w:color w:val="2F5496" w:themeColor="accent1" w:themeShade="BF"/>
          <w:sz w:val="18"/>
          <w:szCs w:val="18"/>
        </w:rPr>
        <w:t xml:space="preserve">0128522.  </w:t>
      </w:r>
      <w:proofErr w:type="spellStart"/>
      <w:r w:rsidRPr="003440D2">
        <w:rPr>
          <w:rFonts w:eastAsiaTheme="majorEastAsia" w:cstheme="minorHAnsi"/>
          <w:bCs/>
          <w:color w:val="2F5496" w:themeColor="accent1" w:themeShade="BF"/>
          <w:sz w:val="18"/>
          <w:szCs w:val="18"/>
        </w:rPr>
        <w:t>doi</w:t>
      </w:r>
      <w:proofErr w:type="spellEnd"/>
      <w:r w:rsidRPr="003440D2">
        <w:rPr>
          <w:rFonts w:eastAsiaTheme="majorEastAsia" w:cstheme="minorHAnsi"/>
          <w:bCs/>
          <w:color w:val="2F5496" w:themeColor="accent1" w:themeShade="BF"/>
          <w:sz w:val="18"/>
          <w:szCs w:val="18"/>
        </w:rPr>
        <w:t>: 10.1371/journal.pone.0128522.    PMC4506018.</w:t>
      </w:r>
    </w:p>
    <w:p w14:paraId="3AAB9681" w14:textId="77777777" w:rsidR="003440D2" w:rsidRPr="003440D2" w:rsidRDefault="003440D2" w:rsidP="003440D2">
      <w:pPr>
        <w:numPr>
          <w:ilvl w:val="0"/>
          <w:numId w:val="2"/>
        </w:numPr>
        <w:tabs>
          <w:tab w:val="left" w:pos="720"/>
          <w:tab w:val="left" w:pos="1080"/>
        </w:tabs>
        <w:spacing w:after="0" w:line="240" w:lineRule="auto"/>
        <w:contextualSpacing/>
        <w:rPr>
          <w:rFonts w:cstheme="minorHAnsi"/>
          <w:sz w:val="18"/>
          <w:szCs w:val="18"/>
        </w:rPr>
      </w:pPr>
      <w:r w:rsidRPr="003440D2">
        <w:rPr>
          <w:rFonts w:cstheme="minorHAnsi"/>
          <w:sz w:val="18"/>
          <w:szCs w:val="18"/>
        </w:rPr>
        <w:t xml:space="preserve">Folk et al (2016) Does concurrent use of some botanicals interfere with treatment of tuberculosis?  </w:t>
      </w:r>
      <w:proofErr w:type="spellStart"/>
      <w:r w:rsidRPr="003440D2">
        <w:rPr>
          <w:rFonts w:cstheme="minorHAnsi"/>
          <w:i/>
          <w:sz w:val="18"/>
          <w:szCs w:val="18"/>
        </w:rPr>
        <w:t>Neuromolecular</w:t>
      </w:r>
      <w:proofErr w:type="spellEnd"/>
      <w:r w:rsidRPr="003440D2">
        <w:rPr>
          <w:rFonts w:cstheme="minorHAnsi"/>
          <w:i/>
          <w:sz w:val="18"/>
          <w:szCs w:val="18"/>
        </w:rPr>
        <w:t xml:space="preserve"> Med</w:t>
      </w:r>
      <w:r w:rsidRPr="003440D2">
        <w:rPr>
          <w:rFonts w:cstheme="minorHAnsi"/>
          <w:sz w:val="18"/>
          <w:szCs w:val="18"/>
        </w:rPr>
        <w:t xml:space="preserve">. 18: 483-486. </w:t>
      </w:r>
      <w:proofErr w:type="spellStart"/>
      <w:r w:rsidRPr="003440D2">
        <w:rPr>
          <w:rFonts w:cstheme="minorHAnsi"/>
          <w:sz w:val="18"/>
          <w:szCs w:val="18"/>
        </w:rPr>
        <w:t>doi</w:t>
      </w:r>
      <w:proofErr w:type="spellEnd"/>
      <w:r w:rsidRPr="003440D2">
        <w:rPr>
          <w:rFonts w:cstheme="minorHAnsi"/>
          <w:sz w:val="18"/>
          <w:szCs w:val="18"/>
        </w:rPr>
        <w:t xml:space="preserve">: </w:t>
      </w:r>
      <w:r w:rsidRPr="003440D2">
        <w:rPr>
          <w:rFonts w:cstheme="minorHAnsi"/>
          <w:color w:val="333333"/>
          <w:sz w:val="18"/>
          <w:szCs w:val="18"/>
        </w:rPr>
        <w:t xml:space="preserve">10.1007/s12017-016-8402-1. </w:t>
      </w:r>
      <w:r w:rsidRPr="003440D2">
        <w:rPr>
          <w:rFonts w:cstheme="minorHAnsi"/>
          <w:sz w:val="18"/>
          <w:szCs w:val="18"/>
        </w:rPr>
        <w:t>PMID:  27155670.</w:t>
      </w:r>
    </w:p>
    <w:p w14:paraId="431782F1"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92947"/>
    <w:multiLevelType w:val="hybridMultilevel"/>
    <w:tmpl w:val="1264C97A"/>
    <w:lvl w:ilvl="0" w:tplc="04090011">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32B55"/>
    <w:multiLevelType w:val="hybridMultilevel"/>
    <w:tmpl w:val="2258D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D2"/>
    <w:rsid w:val="003440D2"/>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460D"/>
  <w15:chartTrackingRefBased/>
  <w15:docId w15:val="{6E863DE7-A0AC-4B97-B962-288A7CEB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2020-10-19T17:36:00Z</dcterms:created>
  <dcterms:modified xsi:type="dcterms:W3CDTF">2020-10-19T17:36:00Z</dcterms:modified>
</cp:coreProperties>
</file>