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A67B8" w14:textId="77777777" w:rsidR="0044011D" w:rsidRPr="008C2847" w:rsidRDefault="0044011D" w:rsidP="0044011D">
      <w:pPr>
        <w:pStyle w:val="ListParagraph"/>
        <w:numPr>
          <w:ilvl w:val="0"/>
          <w:numId w:val="1"/>
        </w:numPr>
        <w:jc w:val="center"/>
        <w:rPr>
          <w:rFonts w:asciiTheme="majorHAnsi" w:eastAsia="Times New Roman" w:hAnsiTheme="majorHAnsi" w:cstheme="majorHAnsi"/>
          <w:b/>
          <w:bCs/>
          <w:iCs/>
          <w:color w:val="000000"/>
          <w:sz w:val="24"/>
          <w:szCs w:val="24"/>
        </w:rPr>
      </w:pPr>
      <w:r w:rsidRPr="008C2847">
        <w:rPr>
          <w:rFonts w:asciiTheme="majorHAnsi" w:hAnsiTheme="majorHAnsi" w:cstheme="majorHAnsi"/>
          <w:b/>
          <w:bCs/>
          <w:iCs/>
          <w:sz w:val="24"/>
          <w:szCs w:val="24"/>
        </w:rPr>
        <w:t xml:space="preserve">Viscum album topic and transdermal formulations: development, </w:t>
      </w:r>
      <w:proofErr w:type="gramStart"/>
      <w:r w:rsidRPr="008C2847">
        <w:rPr>
          <w:rFonts w:asciiTheme="majorHAnsi" w:hAnsiTheme="majorHAnsi" w:cstheme="majorHAnsi"/>
          <w:b/>
          <w:bCs/>
          <w:iCs/>
          <w:sz w:val="24"/>
          <w:szCs w:val="24"/>
        </w:rPr>
        <w:t>stability</w:t>
      </w:r>
      <w:proofErr w:type="gramEnd"/>
      <w:r w:rsidRPr="008C2847">
        <w:rPr>
          <w:rFonts w:asciiTheme="majorHAnsi" w:hAnsiTheme="majorHAnsi" w:cstheme="majorHAnsi"/>
          <w:b/>
          <w:bCs/>
          <w:iCs/>
          <w:sz w:val="24"/>
          <w:szCs w:val="24"/>
        </w:rPr>
        <w:t xml:space="preserve"> and in vitro cytotoxicity evaluation</w:t>
      </w:r>
    </w:p>
    <w:p w14:paraId="1B59F85B" w14:textId="77777777" w:rsidR="0044011D" w:rsidRPr="008C2847" w:rsidRDefault="0044011D" w:rsidP="0044011D">
      <w:pPr>
        <w:spacing w:line="480" w:lineRule="auto"/>
        <w:jc w:val="center"/>
        <w:rPr>
          <w:rFonts w:asciiTheme="majorHAnsi" w:hAnsiTheme="majorHAnsi" w:cstheme="majorHAnsi"/>
          <w:b/>
          <w:iCs/>
          <w:sz w:val="24"/>
          <w:szCs w:val="24"/>
        </w:rPr>
      </w:pPr>
      <w:r w:rsidRPr="008C2847">
        <w:rPr>
          <w:rFonts w:asciiTheme="majorHAnsi" w:hAnsiTheme="majorHAnsi" w:cstheme="majorHAnsi"/>
          <w:b/>
          <w:bCs/>
          <w:sz w:val="24"/>
          <w:szCs w:val="24"/>
        </w:rPr>
        <w:t>Pharmacology of Traditional Medicine</w:t>
      </w:r>
    </w:p>
    <w:p w14:paraId="65996DDC" w14:textId="77777777" w:rsidR="0044011D" w:rsidRPr="008C2847" w:rsidRDefault="0044011D" w:rsidP="0044011D">
      <w:pPr>
        <w:pStyle w:val="ListParagraph"/>
        <w:widowControl w:val="0"/>
        <w:autoSpaceDE w:val="0"/>
        <w:autoSpaceDN w:val="0"/>
        <w:adjustRightInd w:val="0"/>
        <w:spacing w:after="0" w:line="240" w:lineRule="auto"/>
        <w:ind w:left="0"/>
        <w:jc w:val="both"/>
        <w:rPr>
          <w:rFonts w:asciiTheme="majorHAnsi" w:eastAsiaTheme="minorEastAsia" w:hAnsiTheme="majorHAnsi" w:cstheme="majorHAnsi"/>
          <w:color w:val="000000"/>
          <w:sz w:val="24"/>
          <w:szCs w:val="24"/>
        </w:rPr>
      </w:pPr>
      <w:r w:rsidRPr="008C2847">
        <w:rPr>
          <w:rFonts w:asciiTheme="majorHAnsi" w:hAnsiTheme="majorHAnsi" w:cstheme="majorHAnsi"/>
          <w:b/>
          <w:iCs/>
          <w:color w:val="000000"/>
          <w:sz w:val="24"/>
          <w:szCs w:val="24"/>
        </w:rPr>
        <w:t>Background:</w:t>
      </w:r>
      <w:r w:rsidRPr="008C2847">
        <w:rPr>
          <w:rFonts w:asciiTheme="majorHAnsi" w:hAnsiTheme="majorHAnsi" w:cstheme="majorHAnsi"/>
          <w:iCs/>
          <w:color w:val="000000"/>
          <w:sz w:val="24"/>
          <w:szCs w:val="24"/>
        </w:rPr>
        <w:t xml:space="preserve"> </w:t>
      </w:r>
      <w:r w:rsidRPr="008C2847">
        <w:rPr>
          <w:rFonts w:asciiTheme="majorHAnsi" w:hAnsiTheme="majorHAnsi" w:cstheme="majorHAnsi"/>
          <w:color w:val="000000"/>
          <w:sz w:val="24"/>
          <w:szCs w:val="24"/>
        </w:rPr>
        <w:t xml:space="preserve">In complementary medicine, European mistletoe extracts have been widely used in cancer treatment for at least 100 years. However, the complex phytochemical composition of mistletoe extract, as well as the low water solubility of important pharmacological metabolites, has motivated the development of new delivery systems. </w:t>
      </w:r>
    </w:p>
    <w:p w14:paraId="4A18709B" w14:textId="77777777" w:rsidR="0044011D" w:rsidRPr="008C2847" w:rsidRDefault="0044011D" w:rsidP="0044011D">
      <w:pPr>
        <w:pStyle w:val="ListParagraph"/>
        <w:widowControl w:val="0"/>
        <w:autoSpaceDE w:val="0"/>
        <w:autoSpaceDN w:val="0"/>
        <w:adjustRightInd w:val="0"/>
        <w:spacing w:after="0" w:line="240" w:lineRule="auto"/>
        <w:ind w:left="0"/>
        <w:jc w:val="both"/>
        <w:rPr>
          <w:rFonts w:asciiTheme="majorHAnsi" w:hAnsiTheme="majorHAnsi" w:cstheme="majorHAnsi"/>
          <w:color w:val="000000"/>
          <w:sz w:val="24"/>
          <w:szCs w:val="24"/>
        </w:rPr>
      </w:pPr>
      <w:r w:rsidRPr="008C2847">
        <w:rPr>
          <w:rFonts w:asciiTheme="majorHAnsi" w:hAnsiTheme="majorHAnsi" w:cstheme="majorHAnsi"/>
          <w:b/>
          <w:color w:val="000000"/>
          <w:sz w:val="24"/>
          <w:szCs w:val="24"/>
        </w:rPr>
        <w:t>Objective:</w:t>
      </w:r>
      <w:r w:rsidRPr="008C2847">
        <w:rPr>
          <w:rFonts w:asciiTheme="majorHAnsi" w:hAnsiTheme="majorHAnsi" w:cstheme="majorHAnsi"/>
          <w:color w:val="000000"/>
          <w:sz w:val="24"/>
          <w:szCs w:val="24"/>
        </w:rPr>
        <w:t xml:space="preserve"> development of </w:t>
      </w:r>
      <w:r w:rsidRPr="008C2847">
        <w:rPr>
          <w:rFonts w:asciiTheme="majorHAnsi" w:hAnsiTheme="majorHAnsi" w:cstheme="majorHAnsi"/>
          <w:sz w:val="24"/>
          <w:szCs w:val="24"/>
        </w:rPr>
        <w:t>topic and transdermal</w:t>
      </w:r>
      <w:r w:rsidRPr="008C2847">
        <w:rPr>
          <w:rFonts w:asciiTheme="majorHAnsi" w:hAnsiTheme="majorHAnsi" w:cstheme="majorHAnsi"/>
          <w:color w:val="000000"/>
          <w:sz w:val="24"/>
          <w:szCs w:val="24"/>
        </w:rPr>
        <w:t xml:space="preserve"> </w:t>
      </w:r>
      <w:r w:rsidRPr="008C2847">
        <w:rPr>
          <w:rFonts w:asciiTheme="majorHAnsi" w:hAnsiTheme="majorHAnsi" w:cstheme="majorHAnsi"/>
          <w:i/>
          <w:iCs/>
          <w:color w:val="000000"/>
          <w:sz w:val="24"/>
          <w:szCs w:val="24"/>
        </w:rPr>
        <w:t xml:space="preserve">V. album </w:t>
      </w:r>
      <w:r w:rsidRPr="008C2847">
        <w:rPr>
          <w:rFonts w:asciiTheme="majorHAnsi" w:hAnsiTheme="majorHAnsi" w:cstheme="majorHAnsi"/>
          <w:color w:val="000000"/>
          <w:sz w:val="24"/>
          <w:szCs w:val="24"/>
        </w:rPr>
        <w:t xml:space="preserve">formulations and their </w:t>
      </w:r>
      <w:r w:rsidRPr="008C2847">
        <w:rPr>
          <w:rFonts w:asciiTheme="majorHAnsi" w:hAnsiTheme="majorHAnsi" w:cstheme="majorHAnsi"/>
          <w:i/>
          <w:color w:val="000000"/>
          <w:sz w:val="24"/>
          <w:szCs w:val="24"/>
        </w:rPr>
        <w:t>in vitro</w:t>
      </w:r>
      <w:r w:rsidRPr="008C2847">
        <w:rPr>
          <w:rFonts w:asciiTheme="majorHAnsi" w:hAnsiTheme="majorHAnsi" w:cstheme="majorHAnsi"/>
          <w:color w:val="000000"/>
          <w:sz w:val="24"/>
          <w:szCs w:val="24"/>
        </w:rPr>
        <w:t xml:space="preserve"> antitumoral potential.</w:t>
      </w:r>
    </w:p>
    <w:p w14:paraId="26A4C26D" w14:textId="77777777" w:rsidR="0044011D" w:rsidRPr="008C2847" w:rsidRDefault="0044011D" w:rsidP="0044011D">
      <w:pPr>
        <w:pStyle w:val="ListParagraph"/>
        <w:widowControl w:val="0"/>
        <w:autoSpaceDE w:val="0"/>
        <w:autoSpaceDN w:val="0"/>
        <w:adjustRightInd w:val="0"/>
        <w:spacing w:after="0" w:line="240" w:lineRule="auto"/>
        <w:ind w:left="0"/>
        <w:jc w:val="both"/>
        <w:rPr>
          <w:rFonts w:asciiTheme="majorHAnsi" w:hAnsiTheme="majorHAnsi" w:cstheme="majorHAnsi"/>
          <w:color w:val="000000"/>
          <w:sz w:val="24"/>
          <w:szCs w:val="24"/>
        </w:rPr>
      </w:pPr>
      <w:r w:rsidRPr="008C2847">
        <w:rPr>
          <w:rFonts w:asciiTheme="majorHAnsi" w:hAnsiTheme="majorHAnsi" w:cstheme="majorHAnsi"/>
          <w:b/>
          <w:color w:val="000000"/>
          <w:sz w:val="24"/>
          <w:szCs w:val="24"/>
        </w:rPr>
        <w:t>Methodology:</w:t>
      </w:r>
      <w:r w:rsidRPr="008C2847">
        <w:rPr>
          <w:rFonts w:asciiTheme="majorHAnsi" w:hAnsiTheme="majorHAnsi" w:cstheme="majorHAnsi"/>
          <w:color w:val="000000"/>
          <w:sz w:val="24"/>
          <w:szCs w:val="24"/>
        </w:rPr>
        <w:t xml:space="preserve"> </w:t>
      </w:r>
      <w:r w:rsidRPr="008C2847">
        <w:rPr>
          <w:rFonts w:asciiTheme="majorHAnsi" w:hAnsiTheme="majorHAnsi" w:cstheme="majorHAnsi"/>
          <w:i/>
          <w:color w:val="000000"/>
          <w:sz w:val="24"/>
          <w:szCs w:val="24"/>
        </w:rPr>
        <w:t>V. album</w:t>
      </w:r>
      <w:r w:rsidRPr="008C2847">
        <w:rPr>
          <w:rFonts w:asciiTheme="majorHAnsi" w:hAnsiTheme="majorHAnsi" w:cstheme="majorHAnsi"/>
          <w:color w:val="000000"/>
          <w:sz w:val="24"/>
          <w:szCs w:val="24"/>
        </w:rPr>
        <w:t xml:space="preserve"> ethanolic extract was prepared by maceration from berries, stems and leaves collected from </w:t>
      </w:r>
      <w:r w:rsidRPr="008C2847">
        <w:rPr>
          <w:rFonts w:asciiTheme="majorHAnsi" w:hAnsiTheme="majorHAnsi" w:cstheme="majorHAnsi"/>
          <w:i/>
          <w:iCs/>
          <w:color w:val="000000"/>
          <w:sz w:val="24"/>
          <w:szCs w:val="24"/>
        </w:rPr>
        <w:t>Abies alba</w:t>
      </w:r>
      <w:r w:rsidRPr="008C2847">
        <w:rPr>
          <w:rFonts w:asciiTheme="majorHAnsi" w:hAnsiTheme="majorHAnsi" w:cstheme="majorHAnsi"/>
          <w:color w:val="000000"/>
          <w:sz w:val="24"/>
          <w:szCs w:val="24"/>
        </w:rPr>
        <w:t xml:space="preserve"> host tree. Then, the dry extract was prepared by lyophilization and submitted to a chemical characterization by thin layer chromatography, HPLC-DAD and HPLC-MS. Aqueous fermented extract from the same host tree was also used. </w:t>
      </w:r>
      <w:r w:rsidRPr="008C2847">
        <w:rPr>
          <w:rFonts w:asciiTheme="majorHAnsi" w:hAnsiTheme="majorHAnsi" w:cstheme="majorHAnsi"/>
          <w:i/>
          <w:color w:val="000000"/>
          <w:sz w:val="24"/>
          <w:szCs w:val="24"/>
        </w:rPr>
        <w:t>V. album</w:t>
      </w:r>
      <w:r w:rsidRPr="008C2847">
        <w:rPr>
          <w:rFonts w:asciiTheme="majorHAnsi" w:hAnsiTheme="majorHAnsi" w:cstheme="majorHAnsi"/>
          <w:color w:val="000000"/>
          <w:sz w:val="24"/>
          <w:szCs w:val="24"/>
        </w:rPr>
        <w:t xml:space="preserve"> extracts (ethanolic and aqueous) and thermal sensitive polymer were mixed to prepare a hydrogel. The stability and rheology of both formulations were conducted </w:t>
      </w:r>
      <w:proofErr w:type="gramStart"/>
      <w:r w:rsidRPr="008C2847">
        <w:rPr>
          <w:rFonts w:asciiTheme="majorHAnsi" w:hAnsiTheme="majorHAnsi" w:cstheme="majorHAnsi"/>
          <w:color w:val="000000"/>
          <w:sz w:val="24"/>
          <w:szCs w:val="24"/>
        </w:rPr>
        <w:t>in order to</w:t>
      </w:r>
      <w:proofErr w:type="gramEnd"/>
      <w:r w:rsidRPr="008C2847">
        <w:rPr>
          <w:rFonts w:asciiTheme="majorHAnsi" w:hAnsiTheme="majorHAnsi" w:cstheme="majorHAnsi"/>
          <w:color w:val="000000"/>
          <w:sz w:val="24"/>
          <w:szCs w:val="24"/>
        </w:rPr>
        <w:t xml:space="preserve"> characterize the physicochemical properties. The </w:t>
      </w:r>
      <w:r w:rsidRPr="008C2847">
        <w:rPr>
          <w:rFonts w:asciiTheme="majorHAnsi" w:hAnsiTheme="majorHAnsi" w:cstheme="majorHAnsi"/>
          <w:i/>
          <w:iCs/>
          <w:color w:val="000000"/>
          <w:sz w:val="24"/>
          <w:szCs w:val="24"/>
        </w:rPr>
        <w:t>in vitro</w:t>
      </w:r>
      <w:r w:rsidRPr="008C2847">
        <w:rPr>
          <w:rFonts w:asciiTheme="majorHAnsi" w:hAnsiTheme="majorHAnsi" w:cstheme="majorHAnsi"/>
          <w:color w:val="000000"/>
          <w:sz w:val="24"/>
          <w:szCs w:val="24"/>
        </w:rPr>
        <w:t xml:space="preserve"> antitumoral activity was carried out using tumoral (Yoshida) and non-tumoral (</w:t>
      </w:r>
      <w:proofErr w:type="spellStart"/>
      <w:r w:rsidRPr="008C2847">
        <w:rPr>
          <w:rFonts w:asciiTheme="majorHAnsi" w:hAnsiTheme="majorHAnsi" w:cstheme="majorHAnsi"/>
          <w:color w:val="000000"/>
          <w:sz w:val="24"/>
          <w:szCs w:val="24"/>
        </w:rPr>
        <w:t>HaCat</w:t>
      </w:r>
      <w:proofErr w:type="spellEnd"/>
      <w:r w:rsidRPr="008C2847">
        <w:rPr>
          <w:rFonts w:asciiTheme="majorHAnsi" w:hAnsiTheme="majorHAnsi" w:cstheme="majorHAnsi"/>
          <w:color w:val="000000"/>
          <w:sz w:val="24"/>
          <w:szCs w:val="24"/>
        </w:rPr>
        <w:t xml:space="preserve">) cell lines. The transdermal properties of new formulations were evaluated by </w:t>
      </w:r>
      <w:r w:rsidRPr="008C2847">
        <w:rPr>
          <w:rFonts w:asciiTheme="majorHAnsi" w:hAnsiTheme="majorHAnsi" w:cstheme="majorHAnsi"/>
          <w:i/>
          <w:color w:val="000000"/>
          <w:sz w:val="24"/>
          <w:szCs w:val="24"/>
        </w:rPr>
        <w:t>in vitro</w:t>
      </w:r>
      <w:r w:rsidRPr="008C2847">
        <w:rPr>
          <w:rFonts w:asciiTheme="majorHAnsi" w:hAnsiTheme="majorHAnsi" w:cstheme="majorHAnsi"/>
          <w:color w:val="000000"/>
          <w:sz w:val="24"/>
          <w:szCs w:val="24"/>
        </w:rPr>
        <w:t xml:space="preserve"> assays, using pig ear as membrane, in Franz-cell type apparatus.</w:t>
      </w:r>
    </w:p>
    <w:p w14:paraId="19C39A74" w14:textId="77777777" w:rsidR="0044011D" w:rsidRPr="008C2847" w:rsidRDefault="0044011D" w:rsidP="0044011D">
      <w:pPr>
        <w:pStyle w:val="ListParagraph"/>
        <w:widowControl w:val="0"/>
        <w:autoSpaceDE w:val="0"/>
        <w:autoSpaceDN w:val="0"/>
        <w:adjustRightInd w:val="0"/>
        <w:spacing w:after="0" w:line="240" w:lineRule="auto"/>
        <w:ind w:left="0"/>
        <w:jc w:val="both"/>
        <w:rPr>
          <w:rFonts w:asciiTheme="majorHAnsi" w:hAnsiTheme="majorHAnsi" w:cstheme="majorHAnsi"/>
          <w:color w:val="000000"/>
          <w:sz w:val="24"/>
          <w:szCs w:val="24"/>
        </w:rPr>
      </w:pPr>
      <w:r w:rsidRPr="008C2847">
        <w:rPr>
          <w:rFonts w:asciiTheme="majorHAnsi" w:hAnsiTheme="majorHAnsi" w:cstheme="majorHAnsi"/>
          <w:b/>
          <w:color w:val="000000"/>
          <w:sz w:val="24"/>
          <w:szCs w:val="24"/>
        </w:rPr>
        <w:t>Results:</w:t>
      </w:r>
      <w:r w:rsidRPr="008C2847">
        <w:rPr>
          <w:rFonts w:asciiTheme="majorHAnsi" w:hAnsiTheme="majorHAnsi" w:cstheme="majorHAnsi"/>
          <w:color w:val="000000"/>
          <w:sz w:val="24"/>
          <w:szCs w:val="24"/>
        </w:rPr>
        <w:t xml:space="preserve"> The hydrogels were classified as non-Newtonian fluids and presented different transition temperatures: 15 ºC (hydrogel with dry extract) and 18 ºC (hydrogel containing aqueous extract). The hydrogel containing 5% of dry or aqueous extract presented pH and microbiological stabilities for 180 days. The total flavonoid content in the hydrogel varied around 20%, which is in accordance with Brazilian quality guidelines. Both formulations presented selectivity towards tumoral when compared to normal cells, with higher antitumoral activity from the dry extract, compared to the aqueous one (p&lt;0.05), in a dose dependent manner. A permeation potential related to hydrogel containing dry extract was detected after 8 hours application on pig ears, according to the methodology used.</w:t>
      </w:r>
    </w:p>
    <w:p w14:paraId="0009193B" w14:textId="77777777" w:rsidR="0044011D" w:rsidRPr="008C2847" w:rsidRDefault="0044011D" w:rsidP="0044011D">
      <w:pPr>
        <w:pStyle w:val="ListParagraph"/>
        <w:widowControl w:val="0"/>
        <w:autoSpaceDE w:val="0"/>
        <w:autoSpaceDN w:val="0"/>
        <w:adjustRightInd w:val="0"/>
        <w:spacing w:after="0" w:line="240" w:lineRule="auto"/>
        <w:ind w:left="0"/>
        <w:jc w:val="both"/>
        <w:rPr>
          <w:rFonts w:asciiTheme="majorHAnsi" w:hAnsiTheme="majorHAnsi" w:cstheme="majorHAnsi"/>
          <w:color w:val="000000"/>
          <w:sz w:val="24"/>
          <w:szCs w:val="24"/>
        </w:rPr>
      </w:pPr>
      <w:r w:rsidRPr="008C2847">
        <w:rPr>
          <w:rFonts w:asciiTheme="majorHAnsi" w:hAnsiTheme="majorHAnsi" w:cstheme="majorHAnsi"/>
          <w:b/>
          <w:color w:val="000000"/>
          <w:sz w:val="24"/>
          <w:szCs w:val="24"/>
        </w:rPr>
        <w:t>Conclusion:</w:t>
      </w:r>
      <w:r w:rsidRPr="008C2847">
        <w:rPr>
          <w:rFonts w:asciiTheme="majorHAnsi" w:hAnsiTheme="majorHAnsi" w:cstheme="majorHAnsi"/>
          <w:color w:val="000000"/>
          <w:sz w:val="24"/>
          <w:szCs w:val="24"/>
        </w:rPr>
        <w:t xml:space="preserve"> The present results highlight the new </w:t>
      </w:r>
      <w:r w:rsidRPr="008C2847">
        <w:rPr>
          <w:rFonts w:asciiTheme="majorHAnsi" w:hAnsiTheme="majorHAnsi" w:cstheme="majorHAnsi"/>
          <w:i/>
          <w:color w:val="000000"/>
          <w:sz w:val="24"/>
          <w:szCs w:val="24"/>
        </w:rPr>
        <w:t>V. album</w:t>
      </w:r>
      <w:r w:rsidRPr="008C2847">
        <w:rPr>
          <w:rFonts w:asciiTheme="majorHAnsi" w:hAnsiTheme="majorHAnsi" w:cstheme="majorHAnsi"/>
          <w:color w:val="000000"/>
          <w:sz w:val="24"/>
          <w:szCs w:val="24"/>
        </w:rPr>
        <w:t xml:space="preserve"> transdermal application for cancer treatment, opening innovative possibilities to the current injectable formulations.</w:t>
      </w:r>
    </w:p>
    <w:p w14:paraId="78198BAD" w14:textId="77777777" w:rsidR="0044011D" w:rsidRPr="008C2847" w:rsidRDefault="0044011D" w:rsidP="0044011D">
      <w:pPr>
        <w:pStyle w:val="ListParagraph"/>
        <w:widowControl w:val="0"/>
        <w:autoSpaceDE w:val="0"/>
        <w:autoSpaceDN w:val="0"/>
        <w:adjustRightInd w:val="0"/>
        <w:spacing w:after="0" w:line="240" w:lineRule="auto"/>
        <w:ind w:left="0"/>
        <w:jc w:val="both"/>
        <w:rPr>
          <w:rFonts w:asciiTheme="majorHAnsi" w:hAnsiTheme="majorHAnsi" w:cstheme="majorHAnsi"/>
          <w:color w:val="000000"/>
          <w:sz w:val="24"/>
          <w:szCs w:val="24"/>
        </w:rPr>
      </w:pPr>
      <w:r w:rsidRPr="008C2847">
        <w:rPr>
          <w:rFonts w:asciiTheme="majorHAnsi" w:hAnsiTheme="majorHAnsi" w:cstheme="majorHAnsi"/>
          <w:b/>
          <w:bCs/>
          <w:color w:val="000000"/>
          <w:sz w:val="24"/>
          <w:szCs w:val="24"/>
        </w:rPr>
        <w:t>Key words</w:t>
      </w:r>
      <w:r w:rsidRPr="008C2847">
        <w:rPr>
          <w:rFonts w:asciiTheme="majorHAnsi" w:hAnsiTheme="majorHAnsi" w:cstheme="majorHAnsi"/>
          <w:color w:val="000000"/>
          <w:sz w:val="24"/>
          <w:szCs w:val="24"/>
        </w:rPr>
        <w:t xml:space="preserve">: </w:t>
      </w:r>
      <w:r w:rsidRPr="008C2847">
        <w:rPr>
          <w:rFonts w:asciiTheme="majorHAnsi" w:hAnsiTheme="majorHAnsi" w:cstheme="majorHAnsi"/>
          <w:i/>
          <w:iCs/>
          <w:color w:val="000000"/>
          <w:sz w:val="24"/>
          <w:szCs w:val="24"/>
        </w:rPr>
        <w:t>Viscum album</w:t>
      </w:r>
      <w:r w:rsidRPr="008C2847">
        <w:rPr>
          <w:rFonts w:asciiTheme="majorHAnsi" w:hAnsiTheme="majorHAnsi" w:cstheme="majorHAnsi"/>
          <w:color w:val="000000"/>
          <w:sz w:val="24"/>
          <w:szCs w:val="24"/>
        </w:rPr>
        <w:t>, dry extract, hydrogel, transdermal, cytotoxicity</w:t>
      </w:r>
    </w:p>
    <w:p w14:paraId="0710623D" w14:textId="77777777" w:rsidR="0044011D" w:rsidRPr="008C2847" w:rsidRDefault="0044011D" w:rsidP="0044011D">
      <w:pPr>
        <w:widowControl w:val="0"/>
        <w:autoSpaceDE w:val="0"/>
        <w:autoSpaceDN w:val="0"/>
        <w:adjustRightInd w:val="0"/>
        <w:spacing w:after="240" w:line="360" w:lineRule="auto"/>
        <w:jc w:val="both"/>
        <w:rPr>
          <w:rFonts w:asciiTheme="majorHAnsi" w:hAnsiTheme="majorHAnsi" w:cstheme="majorHAnsi"/>
          <w:b/>
          <w:i/>
          <w:iCs/>
          <w:color w:val="000000"/>
          <w:sz w:val="18"/>
          <w:szCs w:val="18"/>
        </w:rPr>
      </w:pPr>
      <w:r w:rsidRPr="008C2847">
        <w:rPr>
          <w:rFonts w:asciiTheme="majorHAnsi" w:hAnsiTheme="majorHAnsi" w:cstheme="majorHAnsi"/>
          <w:i/>
          <w:iCs/>
          <w:color w:val="000000"/>
          <w:sz w:val="18"/>
          <w:szCs w:val="18"/>
        </w:rPr>
        <w:t xml:space="preserve">Adriana </w:t>
      </w:r>
      <w:proofErr w:type="spellStart"/>
      <w:r w:rsidRPr="008C2847">
        <w:rPr>
          <w:rFonts w:asciiTheme="majorHAnsi" w:hAnsiTheme="majorHAnsi" w:cstheme="majorHAnsi"/>
          <w:i/>
          <w:iCs/>
          <w:color w:val="000000"/>
          <w:sz w:val="18"/>
          <w:szCs w:val="18"/>
        </w:rPr>
        <w:t>Passos</w:t>
      </w:r>
      <w:proofErr w:type="spellEnd"/>
      <w:r w:rsidRPr="008C2847">
        <w:rPr>
          <w:rFonts w:asciiTheme="majorHAnsi" w:hAnsiTheme="majorHAnsi" w:cstheme="majorHAnsi"/>
          <w:i/>
          <w:iCs/>
          <w:color w:val="000000"/>
          <w:sz w:val="18"/>
          <w:szCs w:val="18"/>
        </w:rPr>
        <w:t xml:space="preserve"> Oliveira</w:t>
      </w:r>
      <w:r w:rsidRPr="008C2847">
        <w:rPr>
          <w:rFonts w:asciiTheme="majorHAnsi" w:hAnsiTheme="majorHAnsi" w:cstheme="majorHAnsi"/>
          <w:i/>
          <w:iCs/>
          <w:color w:val="000000"/>
          <w:sz w:val="18"/>
          <w:szCs w:val="18"/>
          <w:vertAlign w:val="superscript"/>
        </w:rPr>
        <w:t>1</w:t>
      </w:r>
      <w:r w:rsidRPr="008C2847">
        <w:rPr>
          <w:rFonts w:asciiTheme="majorHAnsi" w:hAnsiTheme="majorHAnsi" w:cstheme="majorHAnsi"/>
          <w:i/>
          <w:iCs/>
          <w:color w:val="000000"/>
          <w:sz w:val="18"/>
          <w:szCs w:val="18"/>
        </w:rPr>
        <w:t>, Ana Paula dos Santos Matos</w:t>
      </w:r>
      <w:r w:rsidRPr="008C2847">
        <w:rPr>
          <w:rFonts w:asciiTheme="majorHAnsi" w:hAnsiTheme="majorHAnsi" w:cstheme="majorHAnsi"/>
          <w:i/>
          <w:iCs/>
          <w:color w:val="000000"/>
          <w:sz w:val="18"/>
          <w:szCs w:val="18"/>
          <w:vertAlign w:val="superscript"/>
        </w:rPr>
        <w:t>1</w:t>
      </w:r>
      <w:r w:rsidRPr="008C2847">
        <w:rPr>
          <w:rFonts w:asciiTheme="majorHAnsi" w:hAnsiTheme="majorHAnsi" w:cstheme="majorHAnsi"/>
          <w:i/>
          <w:iCs/>
          <w:color w:val="000000"/>
          <w:sz w:val="18"/>
          <w:szCs w:val="18"/>
        </w:rPr>
        <w:t>, Eduardo Ricci Júnior</w:t>
      </w:r>
      <w:r w:rsidRPr="008C2847">
        <w:rPr>
          <w:rFonts w:asciiTheme="majorHAnsi" w:hAnsiTheme="majorHAnsi" w:cstheme="majorHAnsi"/>
          <w:i/>
          <w:iCs/>
          <w:color w:val="000000"/>
          <w:sz w:val="18"/>
          <w:szCs w:val="18"/>
          <w:vertAlign w:val="superscript"/>
        </w:rPr>
        <w:t>1</w:t>
      </w:r>
      <w:r w:rsidRPr="008C2847">
        <w:rPr>
          <w:rFonts w:asciiTheme="majorHAnsi" w:hAnsiTheme="majorHAnsi" w:cstheme="majorHAnsi"/>
          <w:i/>
          <w:iCs/>
          <w:color w:val="000000"/>
          <w:sz w:val="18"/>
          <w:szCs w:val="18"/>
        </w:rPr>
        <w:t>, Zaida Maria Freitas</w:t>
      </w:r>
      <w:r w:rsidRPr="008C2847">
        <w:rPr>
          <w:rFonts w:asciiTheme="majorHAnsi" w:hAnsiTheme="majorHAnsi" w:cstheme="majorHAnsi"/>
          <w:i/>
          <w:iCs/>
          <w:color w:val="000000"/>
          <w:sz w:val="18"/>
          <w:szCs w:val="18"/>
          <w:vertAlign w:val="superscript"/>
        </w:rPr>
        <w:t>1</w:t>
      </w:r>
      <w:r w:rsidRPr="008C2847">
        <w:rPr>
          <w:rFonts w:asciiTheme="majorHAnsi" w:hAnsiTheme="majorHAnsi" w:cstheme="majorHAnsi"/>
          <w:i/>
          <w:iCs/>
          <w:color w:val="000000"/>
          <w:sz w:val="18"/>
          <w:szCs w:val="18"/>
        </w:rPr>
        <w:t>, Catarina Amorim</w:t>
      </w:r>
      <w:r w:rsidRPr="008C2847">
        <w:rPr>
          <w:rFonts w:asciiTheme="majorHAnsi" w:hAnsiTheme="majorHAnsi" w:cstheme="majorHAnsi"/>
          <w:i/>
          <w:iCs/>
          <w:color w:val="000000"/>
          <w:sz w:val="18"/>
          <w:szCs w:val="18"/>
          <w:vertAlign w:val="superscript"/>
        </w:rPr>
        <w:t>1</w:t>
      </w:r>
      <w:r w:rsidRPr="008C2847">
        <w:rPr>
          <w:rFonts w:asciiTheme="majorHAnsi" w:hAnsiTheme="majorHAnsi" w:cstheme="majorHAnsi"/>
          <w:i/>
          <w:iCs/>
          <w:color w:val="000000"/>
          <w:sz w:val="18"/>
          <w:szCs w:val="18"/>
        </w:rPr>
        <w:t>, Helena Keiko Toma</w:t>
      </w:r>
      <w:r w:rsidRPr="008C2847">
        <w:rPr>
          <w:rFonts w:asciiTheme="majorHAnsi" w:hAnsiTheme="majorHAnsi" w:cstheme="majorHAnsi"/>
          <w:i/>
          <w:iCs/>
          <w:color w:val="000000"/>
          <w:sz w:val="18"/>
          <w:szCs w:val="18"/>
          <w:vertAlign w:val="superscript"/>
        </w:rPr>
        <w:t>1</w:t>
      </w:r>
      <w:r w:rsidRPr="008C2847">
        <w:rPr>
          <w:rFonts w:asciiTheme="majorHAnsi" w:hAnsiTheme="majorHAnsi" w:cstheme="majorHAnsi"/>
          <w:i/>
          <w:iCs/>
          <w:color w:val="000000"/>
          <w:sz w:val="18"/>
          <w:szCs w:val="18"/>
        </w:rPr>
        <w:t>, Marcia Alves Marques Capella</w:t>
      </w:r>
      <w:r w:rsidRPr="008C2847">
        <w:rPr>
          <w:rFonts w:asciiTheme="majorHAnsi" w:hAnsiTheme="majorHAnsi" w:cstheme="majorHAnsi"/>
          <w:i/>
          <w:iCs/>
          <w:color w:val="000000"/>
          <w:sz w:val="18"/>
          <w:szCs w:val="18"/>
          <w:vertAlign w:val="superscript"/>
        </w:rPr>
        <w:t>2</w:t>
      </w:r>
      <w:r w:rsidRPr="008C2847">
        <w:rPr>
          <w:rFonts w:asciiTheme="majorHAnsi" w:hAnsiTheme="majorHAnsi" w:cstheme="majorHAnsi"/>
          <w:i/>
          <w:iCs/>
          <w:color w:val="000000"/>
          <w:sz w:val="18"/>
          <w:szCs w:val="18"/>
        </w:rPr>
        <w:t>, Leandro Rocha Machado</w:t>
      </w:r>
      <w:r w:rsidRPr="008C2847">
        <w:rPr>
          <w:rFonts w:asciiTheme="majorHAnsi" w:hAnsiTheme="majorHAnsi" w:cstheme="majorHAnsi"/>
          <w:i/>
          <w:iCs/>
          <w:color w:val="000000"/>
          <w:sz w:val="18"/>
          <w:szCs w:val="18"/>
          <w:vertAlign w:val="superscript"/>
        </w:rPr>
        <w:t>6</w:t>
      </w:r>
      <w:r w:rsidRPr="008C2847">
        <w:rPr>
          <w:rFonts w:asciiTheme="majorHAnsi" w:hAnsiTheme="majorHAnsi" w:cstheme="majorHAnsi"/>
          <w:i/>
          <w:iCs/>
          <w:color w:val="000000"/>
          <w:sz w:val="18"/>
          <w:szCs w:val="18"/>
        </w:rPr>
        <w:t xml:space="preserve">, </w:t>
      </w:r>
      <w:proofErr w:type="spellStart"/>
      <w:r w:rsidRPr="008C2847">
        <w:rPr>
          <w:rFonts w:asciiTheme="majorHAnsi" w:hAnsiTheme="majorHAnsi" w:cstheme="majorHAnsi"/>
          <w:i/>
          <w:iCs/>
          <w:color w:val="000000"/>
          <w:sz w:val="18"/>
          <w:szCs w:val="18"/>
        </w:rPr>
        <w:t>Mirio</w:t>
      </w:r>
      <w:proofErr w:type="spellEnd"/>
      <w:r w:rsidRPr="008C2847">
        <w:rPr>
          <w:rFonts w:asciiTheme="majorHAnsi" w:hAnsiTheme="majorHAnsi" w:cstheme="majorHAnsi"/>
          <w:i/>
          <w:iCs/>
          <w:color w:val="000000"/>
          <w:sz w:val="18"/>
          <w:szCs w:val="18"/>
        </w:rPr>
        <w:t xml:space="preserve"> Grazi</w:t>
      </w:r>
      <w:r w:rsidRPr="008C2847">
        <w:rPr>
          <w:rFonts w:asciiTheme="majorHAnsi" w:hAnsiTheme="majorHAnsi" w:cstheme="majorHAnsi"/>
          <w:i/>
          <w:iCs/>
          <w:color w:val="000000"/>
          <w:sz w:val="18"/>
          <w:szCs w:val="18"/>
          <w:vertAlign w:val="superscript"/>
        </w:rPr>
        <w:t>3</w:t>
      </w:r>
      <w:r w:rsidRPr="008C2847">
        <w:rPr>
          <w:rFonts w:asciiTheme="majorHAnsi" w:hAnsiTheme="majorHAnsi" w:cstheme="majorHAnsi"/>
          <w:i/>
          <w:iCs/>
          <w:color w:val="000000"/>
          <w:sz w:val="18"/>
          <w:szCs w:val="18"/>
        </w:rPr>
        <w:t>, Bettina Leonhard</w:t>
      </w:r>
      <w:r w:rsidRPr="008C2847">
        <w:rPr>
          <w:rFonts w:asciiTheme="majorHAnsi" w:hAnsiTheme="majorHAnsi" w:cstheme="majorHAnsi"/>
          <w:i/>
          <w:iCs/>
          <w:color w:val="000000"/>
          <w:sz w:val="18"/>
          <w:szCs w:val="18"/>
          <w:vertAlign w:val="superscript"/>
        </w:rPr>
        <w:t>3</w:t>
      </w:r>
      <w:r w:rsidRPr="008C2847">
        <w:rPr>
          <w:rFonts w:asciiTheme="majorHAnsi" w:hAnsiTheme="majorHAnsi" w:cstheme="majorHAnsi"/>
          <w:i/>
          <w:iCs/>
          <w:color w:val="000000"/>
          <w:sz w:val="18"/>
          <w:szCs w:val="18"/>
        </w:rPr>
        <w:t>, Ulrike Weissenstein</w:t>
      </w:r>
      <w:r w:rsidRPr="008C2847">
        <w:rPr>
          <w:rFonts w:asciiTheme="majorHAnsi" w:hAnsiTheme="majorHAnsi" w:cstheme="majorHAnsi"/>
          <w:i/>
          <w:iCs/>
          <w:color w:val="000000"/>
          <w:sz w:val="18"/>
          <w:szCs w:val="18"/>
          <w:vertAlign w:val="superscript"/>
        </w:rPr>
        <w:t>3</w:t>
      </w:r>
      <w:r w:rsidRPr="008C2847">
        <w:rPr>
          <w:rFonts w:asciiTheme="majorHAnsi" w:hAnsiTheme="majorHAnsi" w:cstheme="majorHAnsi"/>
          <w:i/>
          <w:iCs/>
          <w:color w:val="000000"/>
          <w:sz w:val="18"/>
          <w:szCs w:val="18"/>
        </w:rPr>
        <w:t>, Stephan Baumgartner</w:t>
      </w:r>
      <w:r w:rsidRPr="008C2847">
        <w:rPr>
          <w:rFonts w:asciiTheme="majorHAnsi" w:hAnsiTheme="majorHAnsi" w:cstheme="majorHAnsi"/>
          <w:i/>
          <w:iCs/>
          <w:color w:val="000000"/>
          <w:sz w:val="18"/>
          <w:szCs w:val="18"/>
          <w:vertAlign w:val="superscript"/>
        </w:rPr>
        <w:t>3,4,5</w:t>
      </w:r>
      <w:r w:rsidRPr="008C2847">
        <w:rPr>
          <w:rFonts w:asciiTheme="majorHAnsi" w:hAnsiTheme="majorHAnsi" w:cstheme="majorHAnsi"/>
          <w:i/>
          <w:iCs/>
          <w:color w:val="000000"/>
          <w:sz w:val="18"/>
          <w:szCs w:val="18"/>
        </w:rPr>
        <w:t>, Carla Holandino</w:t>
      </w:r>
      <w:r w:rsidRPr="008C2847">
        <w:rPr>
          <w:rFonts w:asciiTheme="majorHAnsi" w:hAnsiTheme="majorHAnsi" w:cstheme="majorHAnsi"/>
          <w:i/>
          <w:iCs/>
          <w:color w:val="000000"/>
          <w:sz w:val="18"/>
          <w:szCs w:val="18"/>
          <w:vertAlign w:val="superscript"/>
        </w:rPr>
        <w:t>1,3</w:t>
      </w:r>
    </w:p>
    <w:p w14:paraId="1A957F20" w14:textId="77777777" w:rsidR="0044011D" w:rsidRPr="008C2847" w:rsidRDefault="0044011D" w:rsidP="0044011D">
      <w:pPr>
        <w:widowControl w:val="0"/>
        <w:autoSpaceDE w:val="0"/>
        <w:autoSpaceDN w:val="0"/>
        <w:adjustRightInd w:val="0"/>
        <w:spacing w:after="240" w:line="240" w:lineRule="auto"/>
        <w:jc w:val="both"/>
        <w:rPr>
          <w:rFonts w:asciiTheme="majorHAnsi" w:hAnsiTheme="majorHAnsi" w:cstheme="majorHAnsi"/>
          <w:i/>
          <w:iCs/>
          <w:color w:val="000000"/>
          <w:sz w:val="18"/>
          <w:szCs w:val="18"/>
        </w:rPr>
      </w:pPr>
      <w:r w:rsidRPr="008C2847">
        <w:rPr>
          <w:rFonts w:asciiTheme="majorHAnsi" w:hAnsiTheme="majorHAnsi" w:cstheme="majorHAnsi"/>
          <w:i/>
          <w:iCs/>
          <w:color w:val="000000"/>
          <w:sz w:val="18"/>
          <w:szCs w:val="18"/>
          <w:vertAlign w:val="superscript"/>
        </w:rPr>
        <w:t>1</w:t>
      </w:r>
      <w:r w:rsidRPr="008C2847">
        <w:rPr>
          <w:rFonts w:asciiTheme="majorHAnsi" w:hAnsiTheme="majorHAnsi" w:cstheme="majorHAnsi"/>
          <w:i/>
          <w:iCs/>
          <w:color w:val="000000"/>
          <w:sz w:val="18"/>
          <w:szCs w:val="18"/>
        </w:rPr>
        <w:t xml:space="preserve">Federal University of Rio de Janeiro, Multidisciplinary Laboratory of Pharmaceutical Sciences, Faculty of Pharmacy, Rio de Janeiro, Brazil  </w:t>
      </w:r>
    </w:p>
    <w:p w14:paraId="743AB49B" w14:textId="77777777" w:rsidR="0044011D" w:rsidRPr="008C2847" w:rsidRDefault="0044011D" w:rsidP="0044011D">
      <w:pPr>
        <w:widowControl w:val="0"/>
        <w:autoSpaceDE w:val="0"/>
        <w:autoSpaceDN w:val="0"/>
        <w:adjustRightInd w:val="0"/>
        <w:spacing w:after="240" w:line="240" w:lineRule="auto"/>
        <w:jc w:val="both"/>
        <w:rPr>
          <w:rFonts w:asciiTheme="majorHAnsi" w:hAnsiTheme="majorHAnsi" w:cstheme="majorHAnsi"/>
          <w:i/>
          <w:iCs/>
          <w:color w:val="000000"/>
          <w:sz w:val="18"/>
          <w:szCs w:val="18"/>
        </w:rPr>
      </w:pPr>
      <w:r w:rsidRPr="008C2847">
        <w:rPr>
          <w:rFonts w:asciiTheme="majorHAnsi" w:hAnsiTheme="majorHAnsi" w:cstheme="majorHAnsi"/>
          <w:i/>
          <w:iCs/>
          <w:color w:val="000000"/>
          <w:sz w:val="18"/>
          <w:szCs w:val="18"/>
          <w:vertAlign w:val="superscript"/>
        </w:rPr>
        <w:t>2</w:t>
      </w:r>
      <w:r w:rsidRPr="008C2847">
        <w:rPr>
          <w:rFonts w:asciiTheme="majorHAnsi" w:hAnsiTheme="majorHAnsi" w:cstheme="majorHAnsi"/>
          <w:i/>
          <w:iCs/>
          <w:color w:val="000000"/>
          <w:sz w:val="18"/>
          <w:szCs w:val="18"/>
        </w:rPr>
        <w:t>Federal University of Rio de Janeiro, Biophysics Institute, Rio de Janeiro, Brazil</w:t>
      </w:r>
    </w:p>
    <w:p w14:paraId="0B2F912D" w14:textId="77777777" w:rsidR="0044011D" w:rsidRPr="008C2847" w:rsidRDefault="0044011D" w:rsidP="0044011D">
      <w:pPr>
        <w:widowControl w:val="0"/>
        <w:autoSpaceDE w:val="0"/>
        <w:autoSpaceDN w:val="0"/>
        <w:adjustRightInd w:val="0"/>
        <w:spacing w:after="240" w:line="240" w:lineRule="auto"/>
        <w:jc w:val="both"/>
        <w:rPr>
          <w:rFonts w:asciiTheme="majorHAnsi" w:hAnsiTheme="majorHAnsi" w:cstheme="majorHAnsi"/>
          <w:i/>
          <w:iCs/>
          <w:color w:val="000000"/>
          <w:sz w:val="18"/>
          <w:szCs w:val="18"/>
        </w:rPr>
      </w:pPr>
      <w:r w:rsidRPr="008C2847">
        <w:rPr>
          <w:rFonts w:asciiTheme="majorHAnsi" w:hAnsiTheme="majorHAnsi" w:cstheme="majorHAnsi"/>
          <w:i/>
          <w:iCs/>
          <w:color w:val="000000"/>
          <w:sz w:val="18"/>
          <w:szCs w:val="18"/>
          <w:vertAlign w:val="superscript"/>
        </w:rPr>
        <w:t>3</w:t>
      </w:r>
      <w:r w:rsidRPr="008C2847">
        <w:rPr>
          <w:rFonts w:asciiTheme="majorHAnsi" w:hAnsiTheme="majorHAnsi" w:cstheme="majorHAnsi"/>
          <w:i/>
          <w:iCs/>
          <w:color w:val="000000"/>
          <w:sz w:val="18"/>
          <w:szCs w:val="18"/>
        </w:rPr>
        <w:t xml:space="preserve">Society for Cancer Research, </w:t>
      </w:r>
      <w:proofErr w:type="spellStart"/>
      <w:r w:rsidRPr="008C2847">
        <w:rPr>
          <w:rFonts w:asciiTheme="majorHAnsi" w:hAnsiTheme="majorHAnsi" w:cstheme="majorHAnsi"/>
          <w:i/>
          <w:iCs/>
          <w:color w:val="000000"/>
          <w:sz w:val="18"/>
          <w:szCs w:val="18"/>
        </w:rPr>
        <w:t>Hiscia</w:t>
      </w:r>
      <w:proofErr w:type="spellEnd"/>
      <w:r w:rsidRPr="008C2847">
        <w:rPr>
          <w:rFonts w:asciiTheme="majorHAnsi" w:hAnsiTheme="majorHAnsi" w:cstheme="majorHAnsi"/>
          <w:i/>
          <w:iCs/>
          <w:color w:val="000000"/>
          <w:sz w:val="18"/>
          <w:szCs w:val="18"/>
        </w:rPr>
        <w:t xml:space="preserve"> Institute, </w:t>
      </w:r>
      <w:proofErr w:type="spellStart"/>
      <w:r w:rsidRPr="008C2847">
        <w:rPr>
          <w:rFonts w:asciiTheme="majorHAnsi" w:hAnsiTheme="majorHAnsi" w:cstheme="majorHAnsi"/>
          <w:i/>
          <w:iCs/>
          <w:color w:val="000000"/>
          <w:sz w:val="18"/>
          <w:szCs w:val="18"/>
        </w:rPr>
        <w:t>Arlesheim</w:t>
      </w:r>
      <w:proofErr w:type="spellEnd"/>
      <w:r w:rsidRPr="008C2847">
        <w:rPr>
          <w:rFonts w:asciiTheme="majorHAnsi" w:hAnsiTheme="majorHAnsi" w:cstheme="majorHAnsi"/>
          <w:i/>
          <w:iCs/>
          <w:color w:val="000000"/>
          <w:sz w:val="18"/>
          <w:szCs w:val="18"/>
        </w:rPr>
        <w:t>, Switzerland</w:t>
      </w:r>
    </w:p>
    <w:p w14:paraId="3AE1305B" w14:textId="77777777" w:rsidR="0044011D" w:rsidRPr="008C2847" w:rsidRDefault="0044011D" w:rsidP="0044011D">
      <w:pPr>
        <w:widowControl w:val="0"/>
        <w:autoSpaceDE w:val="0"/>
        <w:autoSpaceDN w:val="0"/>
        <w:adjustRightInd w:val="0"/>
        <w:spacing w:after="240" w:line="240" w:lineRule="auto"/>
        <w:jc w:val="both"/>
        <w:rPr>
          <w:rFonts w:asciiTheme="majorHAnsi" w:hAnsiTheme="majorHAnsi" w:cstheme="majorHAnsi"/>
          <w:i/>
          <w:iCs/>
          <w:color w:val="000000"/>
          <w:sz w:val="18"/>
          <w:szCs w:val="18"/>
        </w:rPr>
      </w:pPr>
      <w:r w:rsidRPr="008C2847">
        <w:rPr>
          <w:rFonts w:asciiTheme="majorHAnsi" w:hAnsiTheme="majorHAnsi" w:cstheme="majorHAnsi"/>
          <w:i/>
          <w:iCs/>
          <w:color w:val="000000"/>
          <w:sz w:val="18"/>
          <w:szCs w:val="18"/>
          <w:vertAlign w:val="superscript"/>
        </w:rPr>
        <w:t>4</w:t>
      </w:r>
      <w:r w:rsidRPr="008C2847">
        <w:rPr>
          <w:rFonts w:asciiTheme="majorHAnsi" w:hAnsiTheme="majorHAnsi" w:cstheme="majorHAnsi"/>
          <w:i/>
          <w:iCs/>
          <w:color w:val="000000"/>
          <w:sz w:val="18"/>
          <w:szCs w:val="18"/>
        </w:rPr>
        <w:t>University of Bern, Institute of Complementary and Integrative Medicine, Bern, Switzerland</w:t>
      </w:r>
    </w:p>
    <w:p w14:paraId="6C08F80F" w14:textId="77777777" w:rsidR="0044011D" w:rsidRPr="008C2847" w:rsidRDefault="0044011D" w:rsidP="0044011D">
      <w:pPr>
        <w:widowControl w:val="0"/>
        <w:autoSpaceDE w:val="0"/>
        <w:autoSpaceDN w:val="0"/>
        <w:adjustRightInd w:val="0"/>
        <w:spacing w:after="240" w:line="240" w:lineRule="auto"/>
        <w:jc w:val="both"/>
        <w:rPr>
          <w:rFonts w:asciiTheme="majorHAnsi" w:hAnsiTheme="majorHAnsi" w:cstheme="majorHAnsi"/>
          <w:i/>
          <w:iCs/>
          <w:color w:val="000000"/>
          <w:sz w:val="18"/>
          <w:szCs w:val="18"/>
        </w:rPr>
      </w:pPr>
      <w:r w:rsidRPr="008C2847">
        <w:rPr>
          <w:rFonts w:asciiTheme="majorHAnsi" w:hAnsiTheme="majorHAnsi" w:cstheme="majorHAnsi"/>
          <w:i/>
          <w:iCs/>
          <w:color w:val="000000"/>
          <w:sz w:val="18"/>
          <w:szCs w:val="18"/>
          <w:vertAlign w:val="superscript"/>
        </w:rPr>
        <w:t>5</w:t>
      </w:r>
      <w:r w:rsidRPr="008C2847">
        <w:rPr>
          <w:rFonts w:asciiTheme="majorHAnsi" w:hAnsiTheme="majorHAnsi" w:cstheme="majorHAnsi"/>
          <w:i/>
          <w:iCs/>
          <w:color w:val="000000"/>
          <w:sz w:val="18"/>
          <w:szCs w:val="18"/>
        </w:rPr>
        <w:t>University of Witten/</w:t>
      </w:r>
      <w:proofErr w:type="spellStart"/>
      <w:r w:rsidRPr="008C2847">
        <w:rPr>
          <w:rFonts w:asciiTheme="majorHAnsi" w:hAnsiTheme="majorHAnsi" w:cstheme="majorHAnsi"/>
          <w:i/>
          <w:iCs/>
          <w:color w:val="000000"/>
          <w:sz w:val="18"/>
          <w:szCs w:val="18"/>
        </w:rPr>
        <w:t>Herdecke</w:t>
      </w:r>
      <w:proofErr w:type="spellEnd"/>
      <w:r w:rsidRPr="008C2847">
        <w:rPr>
          <w:rFonts w:asciiTheme="majorHAnsi" w:hAnsiTheme="majorHAnsi" w:cstheme="majorHAnsi"/>
          <w:i/>
          <w:iCs/>
          <w:color w:val="000000"/>
          <w:sz w:val="18"/>
          <w:szCs w:val="18"/>
        </w:rPr>
        <w:t xml:space="preserve">, Institute for Integrative Medicine, </w:t>
      </w:r>
      <w:proofErr w:type="spellStart"/>
      <w:r w:rsidRPr="008C2847">
        <w:rPr>
          <w:rFonts w:asciiTheme="majorHAnsi" w:hAnsiTheme="majorHAnsi" w:cstheme="majorHAnsi"/>
          <w:i/>
          <w:iCs/>
          <w:color w:val="000000"/>
          <w:sz w:val="18"/>
          <w:szCs w:val="18"/>
        </w:rPr>
        <w:t>Herdecke</w:t>
      </w:r>
      <w:proofErr w:type="spellEnd"/>
      <w:r w:rsidRPr="008C2847">
        <w:rPr>
          <w:rFonts w:asciiTheme="majorHAnsi" w:hAnsiTheme="majorHAnsi" w:cstheme="majorHAnsi"/>
          <w:i/>
          <w:iCs/>
          <w:color w:val="000000"/>
          <w:sz w:val="18"/>
          <w:szCs w:val="18"/>
        </w:rPr>
        <w:t>, Germany</w:t>
      </w:r>
    </w:p>
    <w:p w14:paraId="20F2297B" w14:textId="6DAA6B25" w:rsidR="009134EA" w:rsidRPr="0044011D" w:rsidRDefault="0044011D" w:rsidP="0044011D">
      <w:pPr>
        <w:widowControl w:val="0"/>
        <w:autoSpaceDE w:val="0"/>
        <w:autoSpaceDN w:val="0"/>
        <w:adjustRightInd w:val="0"/>
        <w:spacing w:after="240" w:line="240" w:lineRule="auto"/>
        <w:jc w:val="both"/>
        <w:rPr>
          <w:rFonts w:asciiTheme="majorHAnsi" w:hAnsiTheme="majorHAnsi" w:cstheme="majorHAnsi"/>
          <w:i/>
          <w:iCs/>
          <w:color w:val="000000"/>
          <w:sz w:val="18"/>
          <w:szCs w:val="18"/>
        </w:rPr>
      </w:pPr>
      <w:r w:rsidRPr="008C2847">
        <w:rPr>
          <w:rFonts w:asciiTheme="majorHAnsi" w:hAnsiTheme="majorHAnsi" w:cstheme="majorHAnsi"/>
          <w:i/>
          <w:iCs/>
          <w:color w:val="000000"/>
          <w:sz w:val="18"/>
          <w:szCs w:val="18"/>
          <w:vertAlign w:val="superscript"/>
        </w:rPr>
        <w:t>6</w:t>
      </w:r>
      <w:r w:rsidRPr="008C2847">
        <w:rPr>
          <w:rFonts w:asciiTheme="majorHAnsi" w:hAnsiTheme="majorHAnsi" w:cstheme="majorHAnsi"/>
          <w:i/>
          <w:iCs/>
          <w:color w:val="000000"/>
          <w:sz w:val="18"/>
          <w:szCs w:val="18"/>
        </w:rPr>
        <w:t>Federal Fluminense University, LTPN, Niteroi, Brazil</w:t>
      </w:r>
    </w:p>
    <w:sectPr w:rsidR="009134EA" w:rsidRPr="0044011D" w:rsidSect="0044011D">
      <w:pgSz w:w="12240" w:h="15840" w:code="1"/>
      <w:pgMar w:top="90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1D"/>
    <w:rsid w:val="0044011D"/>
    <w:rsid w:val="007825E3"/>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4469"/>
  <w15:chartTrackingRefBased/>
  <w15:docId w15:val="{99E47EF4-193A-4B66-9EB3-30BD3094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1</cp:revision>
  <dcterms:created xsi:type="dcterms:W3CDTF">2020-10-19T17:18:00Z</dcterms:created>
  <dcterms:modified xsi:type="dcterms:W3CDTF">2020-10-19T17:18:00Z</dcterms:modified>
</cp:coreProperties>
</file>