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B2E86" w14:textId="38B70BD3" w:rsidR="00B86BDD" w:rsidRPr="00B86BDD" w:rsidRDefault="00B86BDD" w:rsidP="00B86BDD">
      <w:pPr>
        <w:pStyle w:val="ListParagraph"/>
        <w:keepNext/>
        <w:keepLines/>
        <w:numPr>
          <w:ilvl w:val="0"/>
          <w:numId w:val="2"/>
        </w:numPr>
        <w:spacing w:before="480" w:after="0" w:line="276" w:lineRule="auto"/>
        <w:jc w:val="center"/>
        <w:outlineLvl w:val="0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B86BDD">
        <w:rPr>
          <w:rFonts w:asciiTheme="majorHAnsi" w:eastAsiaTheme="majorEastAsia" w:hAnsiTheme="majorHAnsi" w:cstheme="majorHAnsi"/>
          <w:b/>
          <w:bCs/>
          <w:sz w:val="24"/>
          <w:szCs w:val="24"/>
        </w:rPr>
        <w:t>Patients refusing anticancer treatments and Complementary and Integrative Medicine</w:t>
      </w:r>
    </w:p>
    <w:p w14:paraId="7894AB09" w14:textId="77777777" w:rsidR="00B86BDD" w:rsidRPr="00B86BDD" w:rsidRDefault="00B86BDD" w:rsidP="00B86BDD">
      <w:pPr>
        <w:rPr>
          <w:rFonts w:asciiTheme="majorHAnsi" w:hAnsiTheme="majorHAnsi" w:cstheme="majorHAnsi"/>
          <w:sz w:val="24"/>
          <w:szCs w:val="24"/>
        </w:rPr>
      </w:pPr>
    </w:p>
    <w:p w14:paraId="7A727433" w14:textId="77777777" w:rsidR="00B86BDD" w:rsidRPr="00B86BDD" w:rsidRDefault="00B86BDD" w:rsidP="00B86BD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B86BD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Global Approaches of Integrative Oncology</w:t>
      </w:r>
    </w:p>
    <w:p w14:paraId="13E0B327" w14:textId="77777777" w:rsidR="00B86BDD" w:rsidRPr="00B86BDD" w:rsidRDefault="00B86BDD" w:rsidP="00B86BDD">
      <w:pPr>
        <w:tabs>
          <w:tab w:val="left" w:pos="-720"/>
          <w:tab w:val="num" w:pos="0"/>
          <w:tab w:val="right" w:pos="3528"/>
          <w:tab w:val="left" w:pos="4234"/>
        </w:tabs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i/>
          <w:iCs/>
          <w:spacing w:val="-3"/>
          <w:sz w:val="24"/>
          <w:szCs w:val="24"/>
          <w:lang w:eastAsia="ar-SA"/>
        </w:rPr>
      </w:pPr>
    </w:p>
    <w:p w14:paraId="2E45A4ED" w14:textId="77777777" w:rsidR="00B86BDD" w:rsidRPr="00C63577" w:rsidRDefault="00B86BDD" w:rsidP="00B86BDD">
      <w:pPr>
        <w:tabs>
          <w:tab w:val="left" w:pos="-720"/>
          <w:tab w:val="num" w:pos="0"/>
          <w:tab w:val="right" w:pos="3528"/>
          <w:tab w:val="left" w:pos="4234"/>
        </w:tabs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bCs/>
          <w:spacing w:val="-3"/>
          <w:sz w:val="24"/>
          <w:szCs w:val="24"/>
          <w:lang w:eastAsia="ar-SA"/>
        </w:rPr>
      </w:pPr>
      <w:r w:rsidRPr="00C63577">
        <w:rPr>
          <w:rFonts w:asciiTheme="majorHAnsi" w:eastAsia="Times New Roman" w:hAnsiTheme="majorHAnsi" w:cstheme="majorHAnsi"/>
          <w:b/>
          <w:bCs/>
          <w:iCs/>
          <w:spacing w:val="-3"/>
          <w:sz w:val="24"/>
          <w:szCs w:val="24"/>
          <w:lang w:eastAsia="ar-SA"/>
        </w:rPr>
        <w:t>Aim:</w:t>
      </w:r>
      <w:r w:rsidRPr="00C63577">
        <w:rPr>
          <w:rFonts w:asciiTheme="majorHAnsi" w:eastAsia="Times New Roman" w:hAnsiTheme="majorHAnsi" w:cstheme="majorHAnsi"/>
          <w:bCs/>
          <w:spacing w:val="-3"/>
          <w:sz w:val="24"/>
          <w:szCs w:val="24"/>
          <w:lang w:eastAsia="ar-SA"/>
        </w:rPr>
        <w:t xml:space="preserve"> This observational prospective study conducted at the Clinic for Complementary Medicine and Diet in Oncology, Campo di </w:t>
      </w:r>
      <w:proofErr w:type="spellStart"/>
      <w:r w:rsidRPr="00C63577">
        <w:rPr>
          <w:rFonts w:asciiTheme="majorHAnsi" w:eastAsia="Times New Roman" w:hAnsiTheme="majorHAnsi" w:cstheme="majorHAnsi"/>
          <w:bCs/>
          <w:spacing w:val="-3"/>
          <w:sz w:val="24"/>
          <w:szCs w:val="24"/>
          <w:lang w:eastAsia="ar-SA"/>
        </w:rPr>
        <w:t>Marte</w:t>
      </w:r>
      <w:proofErr w:type="spellEnd"/>
      <w:r w:rsidRPr="00C63577">
        <w:rPr>
          <w:rFonts w:asciiTheme="majorHAnsi" w:eastAsia="Times New Roman" w:hAnsiTheme="majorHAnsi" w:cstheme="majorHAnsi"/>
          <w:bCs/>
          <w:spacing w:val="-3"/>
          <w:sz w:val="24"/>
          <w:szCs w:val="24"/>
          <w:lang w:eastAsia="ar-SA"/>
        </w:rPr>
        <w:t xml:space="preserve"> Hospital, Lucca (Italy) aimed at better clarifying </w:t>
      </w:r>
      <w:r w:rsidRPr="00C63577">
        <w:rPr>
          <w:rFonts w:asciiTheme="majorHAnsi" w:eastAsia="Calibri" w:hAnsiTheme="majorHAnsi" w:cstheme="majorHAnsi"/>
          <w:bCs/>
          <w:spacing w:val="-3"/>
          <w:sz w:val="24"/>
          <w:szCs w:val="24"/>
          <w:lang w:eastAsia="ar-SA"/>
        </w:rPr>
        <w:t>why and when several</w:t>
      </w:r>
      <w:r w:rsidRPr="00C63577">
        <w:rPr>
          <w:rFonts w:asciiTheme="majorHAnsi" w:eastAsia="Times New Roman" w:hAnsiTheme="majorHAnsi" w:cstheme="majorHAnsi"/>
          <w:bCs/>
          <w:spacing w:val="-3"/>
          <w:sz w:val="24"/>
          <w:szCs w:val="24"/>
          <w:lang w:eastAsia="ar-SA"/>
        </w:rPr>
        <w:t xml:space="preserve"> cancer patients tend to refuse anticancer treatments</w:t>
      </w:r>
      <w:r w:rsidRPr="00C63577">
        <w:rPr>
          <w:rFonts w:asciiTheme="majorHAnsi" w:eastAsia="Calibri" w:hAnsiTheme="majorHAnsi" w:cstheme="majorHAnsi"/>
          <w:bCs/>
          <w:spacing w:val="-3"/>
          <w:sz w:val="24"/>
          <w:szCs w:val="24"/>
          <w:lang w:eastAsia="ar-SA"/>
        </w:rPr>
        <w:t xml:space="preserve">. </w:t>
      </w:r>
    </w:p>
    <w:p w14:paraId="40D4F60F" w14:textId="77777777" w:rsidR="00B86BDD" w:rsidRPr="00C63577" w:rsidRDefault="00B86BDD" w:rsidP="00B86BDD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63577">
        <w:rPr>
          <w:rFonts w:asciiTheme="majorHAnsi" w:hAnsiTheme="majorHAnsi" w:cstheme="majorHAnsi"/>
          <w:b/>
          <w:bCs/>
          <w:iCs/>
          <w:sz w:val="24"/>
          <w:szCs w:val="24"/>
          <w:lang w:val="en-GB"/>
        </w:rPr>
        <w:t>Methods:</w:t>
      </w:r>
      <w:r w:rsidRPr="00C63577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Pr="00C63577">
        <w:rPr>
          <w:rFonts w:asciiTheme="majorHAnsi" w:hAnsiTheme="majorHAnsi" w:cstheme="majorHAnsi"/>
          <w:sz w:val="24"/>
          <w:szCs w:val="24"/>
        </w:rPr>
        <w:t xml:space="preserve">A specific questionnaire exploring the possible reasons why patients refuse conventional anticancer treatments, as well as their </w:t>
      </w:r>
      <w:r w:rsidRPr="00C63577">
        <w:rPr>
          <w:rFonts w:asciiTheme="majorHAnsi" w:eastAsia="Times New Roman" w:hAnsiTheme="majorHAnsi" w:cstheme="majorHAnsi"/>
          <w:sz w:val="24"/>
          <w:szCs w:val="24"/>
          <w:lang w:eastAsia="it-IT"/>
        </w:rPr>
        <w:t>expectations and feelings related to conventional treatments,</w:t>
      </w:r>
      <w:r w:rsidRPr="00C63577">
        <w:rPr>
          <w:rFonts w:asciiTheme="majorHAnsi" w:hAnsiTheme="majorHAnsi" w:cstheme="majorHAnsi"/>
          <w:sz w:val="24"/>
          <w:szCs w:val="24"/>
        </w:rPr>
        <w:t xml:space="preserve"> was developed. </w:t>
      </w:r>
      <w:r w:rsidRPr="00C63577">
        <w:rPr>
          <w:rFonts w:asciiTheme="majorHAnsi" w:hAnsiTheme="majorHAnsi" w:cstheme="majorHAnsi"/>
          <w:bCs/>
          <w:sz w:val="24"/>
          <w:szCs w:val="24"/>
          <w:lang w:val="en-GB"/>
        </w:rPr>
        <w:t>Our data concerned 35 (6.3%) out of 552 cancer patients, aged 39-79 years (mean age: 56.9 years), who were consecutively visited from 2013 to 2019</w:t>
      </w:r>
      <w:r w:rsidRPr="00C63577">
        <w:rPr>
          <w:rFonts w:asciiTheme="majorHAnsi" w:hAnsiTheme="majorHAnsi" w:cstheme="majorHAnsi"/>
          <w:sz w:val="24"/>
          <w:szCs w:val="24"/>
        </w:rPr>
        <w:t xml:space="preserve"> and refused conventional anti-cancer treatments. </w:t>
      </w:r>
    </w:p>
    <w:p w14:paraId="44F06EBF" w14:textId="77777777" w:rsidR="00B86BDD" w:rsidRPr="00C63577" w:rsidRDefault="00B86BDD" w:rsidP="00B86BDD">
      <w:pPr>
        <w:spacing w:line="276" w:lineRule="auto"/>
        <w:jc w:val="both"/>
        <w:rPr>
          <w:rFonts w:asciiTheme="majorHAnsi" w:eastAsia="Cambria" w:hAnsiTheme="majorHAnsi" w:cstheme="majorHAnsi"/>
          <w:i/>
          <w:color w:val="000000"/>
          <w:sz w:val="24"/>
          <w:szCs w:val="24"/>
        </w:rPr>
      </w:pPr>
      <w:r w:rsidRPr="00C63577">
        <w:rPr>
          <w:rFonts w:asciiTheme="majorHAnsi" w:hAnsiTheme="majorHAnsi" w:cstheme="majorHAnsi"/>
          <w:b/>
          <w:bCs/>
          <w:iCs/>
          <w:sz w:val="24"/>
          <w:szCs w:val="24"/>
        </w:rPr>
        <w:t>Results:</w:t>
      </w:r>
      <w:r w:rsidRPr="00C6357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63577">
        <w:rPr>
          <w:rFonts w:asciiTheme="majorHAnsi" w:hAnsiTheme="majorHAnsi" w:cstheme="majorHAnsi"/>
          <w:sz w:val="24"/>
          <w:szCs w:val="24"/>
        </w:rPr>
        <w:t xml:space="preserve">From September 2013 until December 2019, at the Public Clinic of CM and Diet in Oncology of Lucca 552 cancer patients, 467 (84.1%) female and 88 (15.9%) male, with a median age of 57 years (19–89 years), were consecutively visited. </w:t>
      </w:r>
      <w:r w:rsidRPr="00C63577">
        <w:rPr>
          <w:rFonts w:asciiTheme="majorHAnsi" w:hAnsiTheme="majorHAnsi" w:cstheme="majorHAnsi"/>
          <w:bCs/>
          <w:sz w:val="24"/>
          <w:szCs w:val="24"/>
          <w:lang w:val="it-IT"/>
        </w:rPr>
        <w:t>Among those refusing anticancer therapy, c</w:t>
      </w:r>
      <w:r w:rsidRPr="00C63577">
        <w:rPr>
          <w:rFonts w:asciiTheme="majorHAnsi" w:hAnsiTheme="majorHAnsi" w:cstheme="majorHAnsi"/>
          <w:sz w:val="24"/>
          <w:szCs w:val="24"/>
          <w:lang w:val="it-IT"/>
        </w:rPr>
        <w:t xml:space="preserve">ancer patients </w:t>
      </w:r>
      <w:r w:rsidRPr="00C63577">
        <w:rPr>
          <w:rFonts w:asciiTheme="majorHAnsi" w:hAnsiTheme="majorHAnsi" w:cstheme="majorHAnsi"/>
          <w:bCs/>
          <w:sz w:val="24"/>
          <w:szCs w:val="24"/>
        </w:rPr>
        <w:t xml:space="preserve">were distributed as follows: </w:t>
      </w:r>
      <w:r w:rsidRPr="00C63577">
        <w:rPr>
          <w:rFonts w:asciiTheme="majorHAnsi" w:hAnsiTheme="majorHAnsi" w:cstheme="majorHAnsi"/>
          <w:sz w:val="24"/>
          <w:szCs w:val="24"/>
        </w:rPr>
        <w:t>7/35 patients (20%) refused all kinds of anticancer treatment, 14 (40%)</w:t>
      </w:r>
      <w:r w:rsidRPr="00C63577">
        <w:rPr>
          <w:rFonts w:asciiTheme="majorHAnsi" w:hAnsiTheme="majorHAnsi" w:cstheme="majorHAnsi"/>
          <w:bCs/>
          <w:sz w:val="24"/>
          <w:szCs w:val="24"/>
        </w:rPr>
        <w:t xml:space="preserve"> specifically refused chemotherapy; 7 (20%) specifically refused endocrine therapy, 2 (5.7%) refused surgery; and </w:t>
      </w:r>
      <w:r w:rsidRPr="00C63577">
        <w:rPr>
          <w:rFonts w:asciiTheme="majorHAnsi" w:hAnsiTheme="majorHAnsi" w:cstheme="majorHAnsi"/>
          <w:sz w:val="24"/>
          <w:szCs w:val="24"/>
        </w:rPr>
        <w:t>1 (2.8%) specifically refused radiotherapy</w:t>
      </w:r>
      <w:r w:rsidRPr="00C63577">
        <w:rPr>
          <w:rFonts w:asciiTheme="majorHAnsi" w:hAnsiTheme="majorHAnsi" w:cstheme="majorHAnsi"/>
          <w:bCs/>
          <w:sz w:val="24"/>
          <w:szCs w:val="24"/>
        </w:rPr>
        <w:t xml:space="preserve">, while 4 (11.4%) refused other kinds of anticancer treatment (radioiodine, chemoembolization, growing factors, immunotherapy). </w:t>
      </w:r>
      <w:r w:rsidRPr="00C63577">
        <w:rPr>
          <w:rFonts w:asciiTheme="majorHAnsi" w:hAnsiTheme="majorHAnsi" w:cstheme="majorHAnsi"/>
          <w:sz w:val="24"/>
          <w:szCs w:val="24"/>
        </w:rPr>
        <w:t xml:space="preserve">The most popular ones are </w:t>
      </w:r>
      <w:proofErr w:type="spellStart"/>
      <w:r w:rsidRPr="00C63577">
        <w:rPr>
          <w:rFonts w:asciiTheme="majorHAnsi" w:hAnsiTheme="majorHAnsi" w:cstheme="majorHAnsi"/>
          <w:sz w:val="24"/>
          <w:szCs w:val="24"/>
        </w:rPr>
        <w:t>artemisina</w:t>
      </w:r>
      <w:proofErr w:type="spellEnd"/>
      <w:r w:rsidRPr="00C63577">
        <w:rPr>
          <w:rFonts w:asciiTheme="majorHAnsi" w:hAnsiTheme="majorHAnsi" w:cstheme="majorHAnsi"/>
          <w:sz w:val="24"/>
          <w:szCs w:val="24"/>
        </w:rPr>
        <w:t xml:space="preserve"> (</w:t>
      </w:r>
      <w:r w:rsidRPr="00C63577">
        <w:rPr>
          <w:rFonts w:asciiTheme="majorHAnsi" w:hAnsiTheme="majorHAnsi" w:cstheme="majorHAnsi"/>
          <w:i/>
          <w:sz w:val="24"/>
          <w:szCs w:val="24"/>
        </w:rPr>
        <w:t>Artemisia Vulgaris L</w:t>
      </w:r>
      <w:r w:rsidRPr="00C63577">
        <w:rPr>
          <w:rFonts w:asciiTheme="majorHAnsi" w:hAnsiTheme="majorHAnsi" w:cstheme="majorHAnsi"/>
          <w:sz w:val="24"/>
          <w:szCs w:val="24"/>
        </w:rPr>
        <w:t xml:space="preserve">.), </w:t>
      </w:r>
      <w:r w:rsidRPr="00C63577">
        <w:rPr>
          <w:rFonts w:asciiTheme="majorHAnsi" w:hAnsiTheme="majorHAnsi" w:cstheme="majorHAnsi"/>
          <w:i/>
          <w:sz w:val="24"/>
          <w:szCs w:val="24"/>
        </w:rPr>
        <w:t>Potassium Ascorbate</w:t>
      </w:r>
      <w:r w:rsidRPr="00C63577">
        <w:rPr>
          <w:rFonts w:asciiTheme="majorHAnsi" w:hAnsiTheme="majorHAnsi" w:cstheme="majorHAnsi"/>
          <w:sz w:val="24"/>
          <w:szCs w:val="24"/>
        </w:rPr>
        <w:t xml:space="preserve"> and </w:t>
      </w:r>
      <w:r w:rsidRPr="00C63577">
        <w:rPr>
          <w:rFonts w:asciiTheme="majorHAnsi" w:hAnsiTheme="majorHAnsi" w:cstheme="majorHAnsi"/>
          <w:i/>
          <w:sz w:val="24"/>
          <w:szCs w:val="24"/>
        </w:rPr>
        <w:t xml:space="preserve">Viscum Album. </w:t>
      </w:r>
      <w:r w:rsidRPr="00C63577">
        <w:rPr>
          <w:rFonts w:asciiTheme="majorHAnsi" w:hAnsiTheme="majorHAnsi" w:cstheme="majorHAnsi"/>
          <w:sz w:val="24"/>
          <w:szCs w:val="24"/>
        </w:rPr>
        <w:t xml:space="preserve">Thirty-one patients (88.6%) completed at least one follow-up visit; of them 18 (58.1%) are still in good conditions, 4 (12.9%) are in a disease progression phase, and 9 (29%) patients </w:t>
      </w:r>
      <w:proofErr w:type="gramStart"/>
      <w:r w:rsidRPr="00C63577">
        <w:rPr>
          <w:rFonts w:asciiTheme="majorHAnsi" w:hAnsiTheme="majorHAnsi" w:cstheme="majorHAnsi"/>
          <w:sz w:val="24"/>
          <w:szCs w:val="24"/>
        </w:rPr>
        <w:t>passed away</w:t>
      </w:r>
      <w:proofErr w:type="gramEnd"/>
      <w:r w:rsidRPr="00C63577">
        <w:rPr>
          <w:rFonts w:asciiTheme="majorHAnsi" w:hAnsiTheme="majorHAnsi" w:cstheme="majorHAnsi"/>
          <w:sz w:val="24"/>
          <w:szCs w:val="24"/>
        </w:rPr>
        <w:t xml:space="preserve">. After their baseline integrative oncology visit, 15 out of 31 patients visited at follow-up (48.4%) turned out to accept conventional treatments. Indeed, a plurality of “alternative” treatments are used and are often combined. </w:t>
      </w:r>
    </w:p>
    <w:p w14:paraId="56D5724C" w14:textId="77777777" w:rsidR="00B86BDD" w:rsidRPr="00C63577" w:rsidRDefault="00B86BDD" w:rsidP="00B86BDD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63577">
        <w:rPr>
          <w:rFonts w:asciiTheme="majorHAnsi" w:hAnsiTheme="majorHAnsi" w:cstheme="majorHAnsi"/>
          <w:b/>
          <w:iCs/>
          <w:sz w:val="24"/>
          <w:szCs w:val="24"/>
          <w:lang w:val="en"/>
        </w:rPr>
        <w:t>Conclusions:</w:t>
      </w:r>
      <w:r w:rsidRPr="00C63577">
        <w:rPr>
          <w:rFonts w:asciiTheme="majorHAnsi" w:hAnsiTheme="majorHAnsi" w:cstheme="majorHAnsi"/>
          <w:sz w:val="24"/>
          <w:szCs w:val="24"/>
          <w:lang w:val="en"/>
        </w:rPr>
        <w:t xml:space="preserve"> An Integrative Oncology Clinic may contribute to improve the communication with patients, especially with those who initially refuse conventional treatments, and </w:t>
      </w:r>
      <w:r w:rsidRPr="00C63577">
        <w:rPr>
          <w:rFonts w:asciiTheme="majorHAnsi" w:hAnsiTheme="majorHAnsi" w:cstheme="majorHAnsi"/>
          <w:sz w:val="24"/>
          <w:szCs w:val="24"/>
        </w:rPr>
        <w:t>play a positive role in treatment refusal management.</w:t>
      </w:r>
    </w:p>
    <w:p w14:paraId="558EB070" w14:textId="77777777" w:rsidR="00B86BDD" w:rsidRPr="00B86BDD" w:rsidRDefault="00B86BDD" w:rsidP="00B86BDD">
      <w:pPr>
        <w:spacing w:line="276" w:lineRule="auto"/>
        <w:rPr>
          <w:rFonts w:asciiTheme="majorHAnsi" w:eastAsia="Times New Roman" w:hAnsiTheme="majorHAnsi" w:cstheme="majorHAnsi"/>
          <w:i/>
          <w:iCs/>
          <w:noProof/>
          <w:sz w:val="18"/>
          <w:szCs w:val="18"/>
          <w:vertAlign w:val="superscript"/>
          <w:lang w:val="it-IT" w:eastAsia="it-IT"/>
        </w:rPr>
      </w:pPr>
      <w:r w:rsidRPr="00B86BDD">
        <w:rPr>
          <w:rFonts w:asciiTheme="majorHAnsi" w:hAnsiTheme="majorHAnsi" w:cstheme="majorHAnsi"/>
          <w:i/>
          <w:iCs/>
          <w:sz w:val="18"/>
          <w:szCs w:val="18"/>
          <w:lang w:val="it-IT"/>
        </w:rPr>
        <w:t>Elio Rossi</w:t>
      </w:r>
      <w:r w:rsidRPr="00B86BDD">
        <w:rPr>
          <w:rFonts w:asciiTheme="majorHAnsi" w:hAnsiTheme="majorHAnsi" w:cstheme="majorHAnsi"/>
          <w:i/>
          <w:iCs/>
          <w:kern w:val="24"/>
          <w:sz w:val="18"/>
          <w:szCs w:val="18"/>
          <w:lang w:val="it-IT"/>
        </w:rPr>
        <w:t>*</w:t>
      </w:r>
      <w:r w:rsidRPr="00B86BDD">
        <w:rPr>
          <w:rFonts w:asciiTheme="majorHAnsi" w:hAnsiTheme="majorHAnsi" w:cstheme="majorHAnsi"/>
          <w:i/>
          <w:iCs/>
          <w:sz w:val="18"/>
          <w:szCs w:val="18"/>
          <w:lang w:val="it-IT"/>
        </w:rPr>
        <w:t>, Cristina Noberasco</w:t>
      </w:r>
      <w:r w:rsidRPr="00B86BDD">
        <w:rPr>
          <w:rFonts w:asciiTheme="majorHAnsi" w:hAnsiTheme="majorHAnsi" w:cstheme="majorHAnsi"/>
          <w:i/>
          <w:iCs/>
          <w:kern w:val="24"/>
          <w:sz w:val="18"/>
          <w:szCs w:val="18"/>
          <w:lang w:val="it-IT"/>
        </w:rPr>
        <w:t>*</w:t>
      </w:r>
      <w:r w:rsidRPr="00B86BDD">
        <w:rPr>
          <w:rFonts w:asciiTheme="majorHAnsi" w:hAnsiTheme="majorHAnsi" w:cstheme="majorHAnsi"/>
          <w:i/>
          <w:iCs/>
          <w:sz w:val="18"/>
          <w:szCs w:val="18"/>
          <w:lang w:val="it-IT"/>
        </w:rPr>
        <w:t>, Marco Picchi</w:t>
      </w:r>
      <w:r w:rsidRPr="00B86BDD">
        <w:rPr>
          <w:rFonts w:asciiTheme="majorHAnsi" w:hAnsiTheme="majorHAnsi" w:cstheme="majorHAnsi"/>
          <w:i/>
          <w:iCs/>
          <w:kern w:val="24"/>
          <w:sz w:val="18"/>
          <w:szCs w:val="18"/>
          <w:lang w:val="it-IT"/>
        </w:rPr>
        <w:t>*</w:t>
      </w:r>
      <w:r w:rsidRPr="00B86BDD">
        <w:rPr>
          <w:rFonts w:asciiTheme="majorHAnsi" w:hAnsiTheme="majorHAnsi" w:cstheme="majorHAnsi"/>
          <w:i/>
          <w:iCs/>
          <w:sz w:val="18"/>
          <w:szCs w:val="18"/>
          <w:lang w:val="it-IT"/>
        </w:rPr>
        <w:t xml:space="preserve">, </w:t>
      </w:r>
      <w:r w:rsidRPr="00B86BDD">
        <w:rPr>
          <w:rFonts w:asciiTheme="majorHAnsi" w:eastAsia="Times New Roman" w:hAnsiTheme="majorHAnsi" w:cstheme="majorHAnsi"/>
          <w:i/>
          <w:iCs/>
          <w:noProof/>
          <w:sz w:val="18"/>
          <w:szCs w:val="18"/>
          <w:lang w:val="it-IT" w:eastAsia="it-IT"/>
        </w:rPr>
        <w:t>Mariella Di Stefano</w:t>
      </w:r>
      <w:r w:rsidRPr="00B86BDD">
        <w:rPr>
          <w:rFonts w:asciiTheme="majorHAnsi" w:hAnsiTheme="majorHAnsi" w:cstheme="majorHAnsi"/>
          <w:i/>
          <w:iCs/>
          <w:sz w:val="18"/>
          <w:szCs w:val="18"/>
          <w:lang w:val="it-IT"/>
        </w:rPr>
        <w:t>*</w:t>
      </w:r>
      <w:r w:rsidRPr="00B86BDD">
        <w:rPr>
          <w:rFonts w:asciiTheme="majorHAnsi" w:eastAsia="Times New Roman" w:hAnsiTheme="majorHAnsi" w:cstheme="majorHAnsi"/>
          <w:i/>
          <w:iCs/>
          <w:noProof/>
          <w:sz w:val="18"/>
          <w:szCs w:val="18"/>
          <w:lang w:val="it-IT" w:eastAsia="it-IT"/>
        </w:rPr>
        <w:t xml:space="preserve">, </w:t>
      </w:r>
      <w:r w:rsidRPr="00B86BDD">
        <w:rPr>
          <w:rFonts w:asciiTheme="majorHAnsi" w:eastAsia="Times New Roman" w:hAnsiTheme="majorHAnsi" w:cstheme="majorHAnsi"/>
          <w:b/>
          <w:i/>
          <w:iCs/>
          <w:noProof/>
          <w:sz w:val="18"/>
          <w:szCs w:val="18"/>
          <w:lang w:val="it-IT" w:eastAsia="it-IT"/>
        </w:rPr>
        <w:t>Francesca Bosinelli</w:t>
      </w:r>
      <w:r w:rsidRPr="00B86BDD">
        <w:rPr>
          <w:rFonts w:asciiTheme="majorHAnsi" w:eastAsia="Times New Roman" w:hAnsiTheme="majorHAnsi" w:cstheme="majorHAnsi"/>
          <w:i/>
          <w:iCs/>
          <w:noProof/>
          <w:sz w:val="18"/>
          <w:szCs w:val="18"/>
          <w:lang w:val="it-IT" w:eastAsia="it-IT"/>
        </w:rPr>
        <w:t xml:space="preserve">*, </w:t>
      </w:r>
      <w:r w:rsidRPr="00B86BDD">
        <w:rPr>
          <w:rFonts w:asciiTheme="majorHAnsi" w:hAnsiTheme="majorHAnsi" w:cstheme="majorHAnsi"/>
          <w:i/>
          <w:iCs/>
          <w:sz w:val="18"/>
          <w:szCs w:val="18"/>
          <w:lang w:val="it-IT"/>
        </w:rPr>
        <w:t>Gianni Amunni**</w:t>
      </w:r>
    </w:p>
    <w:p w14:paraId="5E13A8EE" w14:textId="77777777" w:rsidR="00B86BDD" w:rsidRPr="00B86BDD" w:rsidRDefault="00B86BDD" w:rsidP="00B86BDD">
      <w:pPr>
        <w:spacing w:line="276" w:lineRule="auto"/>
        <w:rPr>
          <w:rFonts w:asciiTheme="majorHAnsi" w:eastAsia="Times New Roman" w:hAnsiTheme="majorHAnsi" w:cstheme="majorHAnsi"/>
          <w:i/>
          <w:iCs/>
          <w:sz w:val="18"/>
          <w:szCs w:val="18"/>
          <w:lang w:val="it-IT" w:eastAsia="it-IT"/>
        </w:rPr>
      </w:pPr>
    </w:p>
    <w:p w14:paraId="3344900C" w14:textId="77777777" w:rsidR="00B86BDD" w:rsidRPr="00B86BDD" w:rsidRDefault="00B86BDD" w:rsidP="00B86BDD">
      <w:pPr>
        <w:spacing w:line="276" w:lineRule="auto"/>
        <w:jc w:val="both"/>
        <w:rPr>
          <w:rFonts w:asciiTheme="majorHAnsi" w:eastAsia="Cambria" w:hAnsiTheme="majorHAnsi" w:cstheme="majorHAnsi"/>
          <w:i/>
          <w:iCs/>
          <w:sz w:val="18"/>
          <w:szCs w:val="18"/>
        </w:rPr>
      </w:pPr>
      <w:r w:rsidRPr="00B86BDD">
        <w:rPr>
          <w:rFonts w:asciiTheme="majorHAnsi" w:hAnsiTheme="majorHAnsi" w:cstheme="majorHAnsi"/>
          <w:i/>
          <w:iCs/>
          <w:sz w:val="18"/>
          <w:szCs w:val="18"/>
        </w:rPr>
        <w:t>* Clinic for Complementary Medicine and Diet in Oncology, North-Western Tuscan Local Health Authority, Lucca, Italy</w:t>
      </w:r>
    </w:p>
    <w:p w14:paraId="6856F12D" w14:textId="77777777" w:rsidR="00B86BDD" w:rsidRPr="00B86BDD" w:rsidRDefault="00B86BDD" w:rsidP="00B86BDD">
      <w:pPr>
        <w:tabs>
          <w:tab w:val="left" w:pos="-720"/>
          <w:tab w:val="num" w:pos="0"/>
          <w:tab w:val="right" w:pos="3528"/>
          <w:tab w:val="left" w:pos="4234"/>
        </w:tabs>
        <w:suppressAutoHyphens/>
        <w:spacing w:after="0" w:line="276" w:lineRule="auto"/>
        <w:jc w:val="both"/>
        <w:rPr>
          <w:rFonts w:asciiTheme="majorHAnsi" w:eastAsia="Times New Roman" w:hAnsiTheme="majorHAnsi" w:cstheme="majorHAnsi"/>
          <w:b/>
          <w:i/>
          <w:iCs/>
          <w:spacing w:val="-3"/>
          <w:sz w:val="18"/>
          <w:szCs w:val="18"/>
          <w:lang w:val="en-GB" w:eastAsia="ar-SA"/>
        </w:rPr>
      </w:pPr>
      <w:r w:rsidRPr="00B86BDD">
        <w:rPr>
          <w:rFonts w:asciiTheme="majorHAnsi" w:eastAsia="Times New Roman" w:hAnsiTheme="majorHAnsi" w:cstheme="majorHAnsi"/>
          <w:i/>
          <w:iCs/>
          <w:spacing w:val="-3"/>
          <w:sz w:val="18"/>
          <w:szCs w:val="18"/>
          <w:lang w:val="en-GB" w:eastAsia="ar-SA"/>
        </w:rPr>
        <w:t>**Institute</w:t>
      </w:r>
      <w:r w:rsidRPr="00B86BDD">
        <w:rPr>
          <w:rFonts w:asciiTheme="majorHAnsi" w:eastAsia="Times New Roman" w:hAnsiTheme="majorHAnsi" w:cstheme="majorHAnsi"/>
          <w:bCs/>
          <w:i/>
          <w:iCs/>
          <w:spacing w:val="-3"/>
          <w:sz w:val="18"/>
          <w:szCs w:val="18"/>
          <w:lang w:val="en-GB" w:eastAsia="ar-SA"/>
        </w:rPr>
        <w:t xml:space="preserve"> Cancer Prevention Research</w:t>
      </w:r>
      <w:r w:rsidRPr="00B86BDD">
        <w:rPr>
          <w:rFonts w:asciiTheme="majorHAnsi" w:eastAsia="Times New Roman" w:hAnsiTheme="majorHAnsi" w:cstheme="majorHAnsi"/>
          <w:b/>
          <w:bCs/>
          <w:i/>
          <w:iCs/>
          <w:spacing w:val="-3"/>
          <w:sz w:val="18"/>
          <w:szCs w:val="18"/>
          <w:lang w:val="en-GB" w:eastAsia="ar-SA"/>
        </w:rPr>
        <w:t xml:space="preserve"> </w:t>
      </w:r>
      <w:r w:rsidRPr="00B86BDD">
        <w:rPr>
          <w:rFonts w:asciiTheme="majorHAnsi" w:eastAsia="Times New Roman" w:hAnsiTheme="majorHAnsi" w:cstheme="majorHAnsi"/>
          <w:bCs/>
          <w:i/>
          <w:iCs/>
          <w:spacing w:val="-3"/>
          <w:sz w:val="18"/>
          <w:szCs w:val="18"/>
          <w:lang w:val="en-GB" w:eastAsia="ar-SA"/>
        </w:rPr>
        <w:t>and Oncological Network (ISPRO), Florence, Italy</w:t>
      </w:r>
    </w:p>
    <w:p w14:paraId="6A6F3CDD" w14:textId="77777777" w:rsidR="00B86BDD" w:rsidRPr="00B86BDD" w:rsidRDefault="00B86BDD" w:rsidP="00B86BDD">
      <w:pPr>
        <w:spacing w:line="276" w:lineRule="auto"/>
        <w:jc w:val="both"/>
        <w:rPr>
          <w:rFonts w:asciiTheme="majorHAnsi" w:hAnsiTheme="majorHAnsi" w:cstheme="majorHAnsi"/>
          <w:b/>
          <w:i/>
          <w:iCs/>
          <w:sz w:val="18"/>
          <w:szCs w:val="18"/>
          <w:lang w:val="en"/>
        </w:rPr>
      </w:pPr>
    </w:p>
    <w:p w14:paraId="5F304A75" w14:textId="154F79E6" w:rsidR="009134EA" w:rsidRPr="00C63577" w:rsidRDefault="00B86BDD" w:rsidP="00C63577">
      <w:pPr>
        <w:spacing w:line="276" w:lineRule="auto"/>
        <w:jc w:val="both"/>
        <w:rPr>
          <w:rFonts w:asciiTheme="majorHAnsi" w:hAnsiTheme="majorHAnsi" w:cstheme="majorHAnsi"/>
          <w:i/>
          <w:iCs/>
          <w:sz w:val="18"/>
          <w:szCs w:val="18"/>
          <w:lang w:val="en"/>
        </w:rPr>
      </w:pPr>
      <w:r w:rsidRPr="00B86BDD">
        <w:rPr>
          <w:rFonts w:asciiTheme="majorHAnsi" w:hAnsiTheme="majorHAnsi" w:cstheme="majorHAnsi"/>
          <w:b/>
          <w:i/>
          <w:iCs/>
          <w:sz w:val="18"/>
          <w:szCs w:val="18"/>
          <w:lang w:val="en"/>
        </w:rPr>
        <w:t xml:space="preserve">Keywords: </w:t>
      </w:r>
      <w:r w:rsidRPr="00B86BDD">
        <w:rPr>
          <w:rFonts w:asciiTheme="majorHAnsi" w:hAnsiTheme="majorHAnsi" w:cstheme="majorHAnsi"/>
          <w:i/>
          <w:iCs/>
          <w:sz w:val="18"/>
          <w:szCs w:val="18"/>
          <w:lang w:val="en"/>
        </w:rPr>
        <w:t>Anticancer Therapy Refusal; Integrative Oncology; Complementary Medicine</w:t>
      </w:r>
    </w:p>
    <w:sectPr w:rsidR="009134EA" w:rsidRPr="00C63577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F7A39"/>
    <w:multiLevelType w:val="hybridMultilevel"/>
    <w:tmpl w:val="C8C6E9D8"/>
    <w:lvl w:ilvl="0" w:tplc="A7CE05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C7282"/>
    <w:multiLevelType w:val="hybridMultilevel"/>
    <w:tmpl w:val="EE7CAED0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DD"/>
    <w:rsid w:val="007825E3"/>
    <w:rsid w:val="009134EA"/>
    <w:rsid w:val="00B86BDD"/>
    <w:rsid w:val="00C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8A31"/>
  <w15:chartTrackingRefBased/>
  <w15:docId w15:val="{82F575D8-FD14-42FC-AC16-730681B5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2</cp:revision>
  <dcterms:created xsi:type="dcterms:W3CDTF">2020-10-19T17:29:00Z</dcterms:created>
  <dcterms:modified xsi:type="dcterms:W3CDTF">2020-10-19T17:58:00Z</dcterms:modified>
</cp:coreProperties>
</file>