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0AD7F" w14:textId="434C537C" w:rsidR="003E5795" w:rsidRPr="003E5795" w:rsidRDefault="003E5795" w:rsidP="003E5795">
      <w:pPr>
        <w:pStyle w:val="ListParagraph"/>
        <w:numPr>
          <w:ilvl w:val="0"/>
          <w:numId w:val="2"/>
        </w:numPr>
        <w:jc w:val="center"/>
        <w:rPr>
          <w:rFonts w:asciiTheme="majorHAnsi" w:hAnsiTheme="majorHAnsi" w:cstheme="majorHAnsi"/>
          <w:b/>
          <w:color w:val="000000" w:themeColor="text1"/>
          <w:sz w:val="24"/>
          <w:szCs w:val="24"/>
        </w:rPr>
      </w:pPr>
      <w:r w:rsidRPr="003E5795">
        <w:rPr>
          <w:rFonts w:asciiTheme="majorHAnsi" w:hAnsiTheme="majorHAnsi" w:cstheme="majorHAnsi"/>
          <w:b/>
          <w:color w:val="000000" w:themeColor="text1"/>
          <w:sz w:val="24"/>
          <w:szCs w:val="24"/>
        </w:rPr>
        <w:t xml:space="preserve">Preferential activity of </w:t>
      </w:r>
      <w:proofErr w:type="spellStart"/>
      <w:r w:rsidRPr="003E5795">
        <w:rPr>
          <w:rFonts w:asciiTheme="majorHAnsi" w:hAnsiTheme="majorHAnsi" w:cstheme="majorHAnsi"/>
          <w:b/>
          <w:i/>
          <w:color w:val="000000" w:themeColor="text1"/>
          <w:sz w:val="24"/>
          <w:szCs w:val="24"/>
        </w:rPr>
        <w:t>Petiveria</w:t>
      </w:r>
      <w:proofErr w:type="spellEnd"/>
      <w:r w:rsidRPr="003E5795">
        <w:rPr>
          <w:rFonts w:asciiTheme="majorHAnsi" w:hAnsiTheme="majorHAnsi" w:cstheme="majorHAnsi"/>
          <w:b/>
          <w:i/>
          <w:color w:val="000000" w:themeColor="text1"/>
          <w:sz w:val="24"/>
          <w:szCs w:val="24"/>
        </w:rPr>
        <w:t xml:space="preserve"> </w:t>
      </w:r>
      <w:proofErr w:type="spellStart"/>
      <w:r w:rsidRPr="003E5795">
        <w:rPr>
          <w:rFonts w:asciiTheme="majorHAnsi" w:hAnsiTheme="majorHAnsi" w:cstheme="majorHAnsi"/>
          <w:b/>
          <w:i/>
          <w:color w:val="000000" w:themeColor="text1"/>
          <w:sz w:val="24"/>
          <w:szCs w:val="24"/>
        </w:rPr>
        <w:t>alliacea</w:t>
      </w:r>
      <w:proofErr w:type="spellEnd"/>
      <w:r w:rsidRPr="003E5795">
        <w:rPr>
          <w:rFonts w:asciiTheme="majorHAnsi" w:hAnsiTheme="majorHAnsi" w:cstheme="majorHAnsi"/>
          <w:b/>
          <w:color w:val="000000" w:themeColor="text1"/>
          <w:sz w:val="24"/>
          <w:szCs w:val="24"/>
        </w:rPr>
        <w:t xml:space="preserve"> extract on primary myeloid </w:t>
      </w:r>
      <w:proofErr w:type="spellStart"/>
      <w:r w:rsidRPr="003E5795">
        <w:rPr>
          <w:rFonts w:asciiTheme="majorHAnsi" w:hAnsiTheme="majorHAnsi" w:cstheme="majorHAnsi"/>
          <w:b/>
          <w:color w:val="000000" w:themeColor="text1"/>
          <w:sz w:val="24"/>
          <w:szCs w:val="24"/>
        </w:rPr>
        <w:t>leukemic</w:t>
      </w:r>
      <w:proofErr w:type="spellEnd"/>
      <w:r w:rsidRPr="003E5795">
        <w:rPr>
          <w:rFonts w:asciiTheme="majorHAnsi" w:hAnsiTheme="majorHAnsi" w:cstheme="majorHAnsi"/>
          <w:b/>
          <w:color w:val="000000" w:themeColor="text1"/>
          <w:sz w:val="24"/>
          <w:szCs w:val="24"/>
        </w:rPr>
        <w:t xml:space="preserve"> blast.</w:t>
      </w:r>
    </w:p>
    <w:p w14:paraId="7E5CC4DD" w14:textId="77777777" w:rsidR="003E5795" w:rsidRPr="008C2847" w:rsidRDefault="003E5795" w:rsidP="003E5795">
      <w:pPr>
        <w:pStyle w:val="ListParagraph"/>
        <w:rPr>
          <w:rFonts w:asciiTheme="majorHAnsi" w:hAnsiTheme="majorHAnsi" w:cstheme="majorHAnsi"/>
          <w:b/>
          <w:sz w:val="24"/>
          <w:szCs w:val="24"/>
        </w:rPr>
      </w:pPr>
    </w:p>
    <w:p w14:paraId="47F9496C" w14:textId="77777777" w:rsidR="003E5795" w:rsidRPr="008C2847" w:rsidRDefault="003E5795" w:rsidP="003E5795">
      <w:pPr>
        <w:pStyle w:val="ListParagraph"/>
        <w:jc w:val="center"/>
        <w:rPr>
          <w:rFonts w:asciiTheme="majorHAnsi" w:hAnsiTheme="majorHAnsi" w:cstheme="majorHAnsi"/>
          <w:b/>
          <w:bCs/>
          <w:sz w:val="24"/>
          <w:szCs w:val="24"/>
        </w:rPr>
      </w:pPr>
      <w:r w:rsidRPr="008C2847">
        <w:rPr>
          <w:rFonts w:asciiTheme="majorHAnsi" w:hAnsiTheme="majorHAnsi" w:cstheme="majorHAnsi"/>
          <w:b/>
          <w:bCs/>
          <w:sz w:val="24"/>
          <w:szCs w:val="24"/>
          <w:shd w:val="clear" w:color="auto" w:fill="FFFFFF"/>
        </w:rPr>
        <w:t>Global Use of Natural Products in Cancer Patient Management</w:t>
      </w:r>
    </w:p>
    <w:p w14:paraId="4EA864DB" w14:textId="77777777" w:rsidR="00C90781" w:rsidRPr="00C90781" w:rsidRDefault="003E5795" w:rsidP="003E5795">
      <w:pPr>
        <w:jc w:val="both"/>
        <w:rPr>
          <w:rFonts w:asciiTheme="majorHAnsi" w:hAnsiTheme="majorHAnsi" w:cstheme="majorHAnsi"/>
          <w:sz w:val="24"/>
          <w:szCs w:val="24"/>
        </w:rPr>
      </w:pPr>
      <w:r w:rsidRPr="00C90781">
        <w:rPr>
          <w:rFonts w:asciiTheme="majorHAnsi" w:hAnsiTheme="majorHAnsi" w:cstheme="majorHAnsi"/>
          <w:b/>
          <w:bCs/>
          <w:sz w:val="24"/>
          <w:szCs w:val="24"/>
        </w:rPr>
        <w:t>Background:</w:t>
      </w:r>
      <w:r w:rsidRPr="00C90781">
        <w:rPr>
          <w:rFonts w:asciiTheme="majorHAnsi" w:hAnsiTheme="majorHAnsi" w:cstheme="majorHAnsi"/>
          <w:sz w:val="24"/>
          <w:szCs w:val="24"/>
        </w:rPr>
        <w:t xml:space="preserve"> Acute leukemia (AL) has a low overall survival (OS), largely associated with resistance to treatment. The need for new therapeutic approaches to improve the response in AL, either by directing therapy or with new therapeutic alternatives has been a research and clinical interest topic. </w:t>
      </w:r>
    </w:p>
    <w:p w14:paraId="75A6551E" w14:textId="77777777" w:rsidR="00C90781" w:rsidRPr="00C90781" w:rsidRDefault="003E5795" w:rsidP="003E5795">
      <w:pPr>
        <w:jc w:val="both"/>
        <w:rPr>
          <w:rFonts w:asciiTheme="majorHAnsi" w:hAnsiTheme="majorHAnsi" w:cstheme="majorHAnsi"/>
          <w:sz w:val="24"/>
          <w:szCs w:val="24"/>
        </w:rPr>
      </w:pPr>
      <w:r w:rsidRPr="00C90781">
        <w:rPr>
          <w:rFonts w:asciiTheme="majorHAnsi" w:hAnsiTheme="majorHAnsi" w:cstheme="majorHAnsi"/>
          <w:b/>
          <w:bCs/>
          <w:sz w:val="24"/>
          <w:szCs w:val="24"/>
        </w:rPr>
        <w:t>Aim:</w:t>
      </w:r>
      <w:r w:rsidRPr="00C90781">
        <w:rPr>
          <w:rFonts w:asciiTheme="majorHAnsi" w:hAnsiTheme="majorHAnsi" w:cstheme="majorHAnsi"/>
          <w:sz w:val="24"/>
          <w:szCs w:val="24"/>
        </w:rPr>
        <w:t xml:space="preserve"> A cytotoxicity evaluation of </w:t>
      </w:r>
      <w:proofErr w:type="spellStart"/>
      <w:r w:rsidRPr="00C90781">
        <w:rPr>
          <w:rFonts w:asciiTheme="majorHAnsi" w:hAnsiTheme="majorHAnsi" w:cstheme="majorHAnsi"/>
          <w:i/>
          <w:iCs/>
          <w:sz w:val="24"/>
          <w:szCs w:val="24"/>
        </w:rPr>
        <w:t>Petiveria</w:t>
      </w:r>
      <w:proofErr w:type="spellEnd"/>
      <w:r w:rsidRPr="00C90781">
        <w:rPr>
          <w:rFonts w:asciiTheme="majorHAnsi" w:hAnsiTheme="majorHAnsi" w:cstheme="majorHAnsi"/>
          <w:i/>
          <w:iCs/>
          <w:sz w:val="24"/>
          <w:szCs w:val="24"/>
        </w:rPr>
        <w:t xml:space="preserve"> </w:t>
      </w:r>
      <w:proofErr w:type="spellStart"/>
      <w:r w:rsidRPr="00C90781">
        <w:rPr>
          <w:rFonts w:asciiTheme="majorHAnsi" w:hAnsiTheme="majorHAnsi" w:cstheme="majorHAnsi"/>
          <w:i/>
          <w:iCs/>
          <w:sz w:val="24"/>
          <w:szCs w:val="24"/>
        </w:rPr>
        <w:t>alliacea</w:t>
      </w:r>
      <w:proofErr w:type="spellEnd"/>
      <w:r w:rsidRPr="00C90781">
        <w:rPr>
          <w:rFonts w:asciiTheme="majorHAnsi" w:hAnsiTheme="majorHAnsi" w:cstheme="majorHAnsi"/>
          <w:i/>
          <w:iCs/>
          <w:sz w:val="24"/>
          <w:szCs w:val="24"/>
        </w:rPr>
        <w:t xml:space="preserve"> </w:t>
      </w:r>
      <w:r w:rsidRPr="00C90781">
        <w:rPr>
          <w:rFonts w:asciiTheme="majorHAnsi" w:hAnsiTheme="majorHAnsi" w:cstheme="majorHAnsi"/>
          <w:sz w:val="24"/>
          <w:szCs w:val="24"/>
        </w:rPr>
        <w:t>(</w:t>
      </w:r>
      <w:proofErr w:type="spellStart"/>
      <w:r w:rsidRPr="00C90781">
        <w:rPr>
          <w:rFonts w:asciiTheme="majorHAnsi" w:hAnsiTheme="majorHAnsi" w:cstheme="majorHAnsi"/>
          <w:sz w:val="24"/>
          <w:szCs w:val="24"/>
        </w:rPr>
        <w:t>Anamu</w:t>
      </w:r>
      <w:proofErr w:type="spellEnd"/>
      <w:r w:rsidRPr="00C90781">
        <w:rPr>
          <w:rFonts w:asciiTheme="majorHAnsi" w:hAnsiTheme="majorHAnsi" w:cstheme="majorHAnsi"/>
          <w:sz w:val="24"/>
          <w:szCs w:val="24"/>
        </w:rPr>
        <w:t xml:space="preserve">) and </w:t>
      </w:r>
      <w:r w:rsidRPr="00C90781">
        <w:rPr>
          <w:rFonts w:asciiTheme="majorHAnsi" w:hAnsiTheme="majorHAnsi" w:cstheme="majorHAnsi"/>
          <w:i/>
          <w:iCs/>
          <w:sz w:val="24"/>
          <w:szCs w:val="24"/>
        </w:rPr>
        <w:t>Caesalpinia spinosa</w:t>
      </w:r>
      <w:r w:rsidRPr="00C90781">
        <w:rPr>
          <w:rFonts w:asciiTheme="majorHAnsi" w:hAnsiTheme="majorHAnsi" w:cstheme="majorHAnsi"/>
          <w:sz w:val="24"/>
          <w:szCs w:val="24"/>
        </w:rPr>
        <w:t xml:space="preserve"> extracts was carried out in a sensitivity ex-vivo platform that used primary leukemia cells from patients with AL. </w:t>
      </w:r>
    </w:p>
    <w:p w14:paraId="1C5B4857" w14:textId="77777777" w:rsidR="00C90781" w:rsidRPr="00C90781" w:rsidRDefault="003E5795" w:rsidP="003E5795">
      <w:pPr>
        <w:jc w:val="both"/>
        <w:rPr>
          <w:rFonts w:asciiTheme="majorHAnsi" w:hAnsiTheme="majorHAnsi" w:cstheme="majorHAnsi"/>
          <w:sz w:val="24"/>
          <w:szCs w:val="24"/>
        </w:rPr>
      </w:pPr>
      <w:r w:rsidRPr="00C90781">
        <w:rPr>
          <w:rFonts w:asciiTheme="majorHAnsi" w:hAnsiTheme="majorHAnsi" w:cstheme="majorHAnsi"/>
          <w:b/>
          <w:bCs/>
          <w:sz w:val="24"/>
          <w:szCs w:val="24"/>
        </w:rPr>
        <w:t>Methodology:</w:t>
      </w:r>
      <w:r w:rsidRPr="00C90781">
        <w:rPr>
          <w:rFonts w:asciiTheme="majorHAnsi" w:hAnsiTheme="majorHAnsi" w:cstheme="majorHAnsi"/>
          <w:sz w:val="24"/>
          <w:szCs w:val="24"/>
        </w:rPr>
        <w:t xml:space="preserve"> Bone marrow samples were taken from 26 patients with novo AL and 6 in relapse, and the cytotoxicity of the extracts alone or in combination with the chemotherapeutics (chemo) was evaluated by XTT. The IC</w:t>
      </w:r>
      <w:r w:rsidRPr="00C90781">
        <w:rPr>
          <w:rFonts w:asciiTheme="majorHAnsi" w:hAnsiTheme="majorHAnsi" w:cstheme="majorHAnsi"/>
          <w:sz w:val="24"/>
          <w:szCs w:val="24"/>
          <w:vertAlign w:val="subscript"/>
        </w:rPr>
        <w:t>50</w:t>
      </w:r>
      <w:r w:rsidRPr="00C90781">
        <w:rPr>
          <w:rFonts w:asciiTheme="majorHAnsi" w:hAnsiTheme="majorHAnsi" w:cstheme="majorHAnsi"/>
          <w:sz w:val="24"/>
          <w:szCs w:val="24"/>
        </w:rPr>
        <w:t xml:space="preserve"> was calculated for each individual treatment and for the combination with extracts and chemo. </w:t>
      </w:r>
    </w:p>
    <w:p w14:paraId="253CC8F3" w14:textId="77777777" w:rsidR="00C90781" w:rsidRPr="00C90781" w:rsidRDefault="003E5795" w:rsidP="003E5795">
      <w:pPr>
        <w:jc w:val="both"/>
        <w:rPr>
          <w:rFonts w:asciiTheme="majorHAnsi" w:hAnsiTheme="majorHAnsi" w:cstheme="majorHAnsi"/>
          <w:sz w:val="24"/>
          <w:szCs w:val="24"/>
        </w:rPr>
      </w:pPr>
      <w:r w:rsidRPr="00C90781">
        <w:rPr>
          <w:rFonts w:asciiTheme="majorHAnsi" w:hAnsiTheme="majorHAnsi" w:cstheme="majorHAnsi"/>
          <w:b/>
          <w:bCs/>
          <w:sz w:val="24"/>
          <w:szCs w:val="24"/>
        </w:rPr>
        <w:t>Results:</w:t>
      </w:r>
      <w:r w:rsidRPr="00C90781">
        <w:rPr>
          <w:rFonts w:asciiTheme="majorHAnsi" w:hAnsiTheme="majorHAnsi" w:cstheme="majorHAnsi"/>
          <w:sz w:val="24"/>
          <w:szCs w:val="24"/>
        </w:rPr>
        <w:t xml:space="preserve"> Patients were classified as good (GR) and bad responders (BD) according to the ex-vivo test. 70.5% of the GR patients to the ex- vivo test, achieved post-induction remission to induction chemo with a median OS of 12.50 months versus 7.23 months in BR. Furthermore, it was found that the ex-vivo response to extracts and chemo is heterogeneous and shows an exclusive pattern between the extracts, being </w:t>
      </w:r>
      <w:proofErr w:type="spellStart"/>
      <w:r w:rsidRPr="00C90781">
        <w:rPr>
          <w:rFonts w:asciiTheme="majorHAnsi" w:hAnsiTheme="majorHAnsi" w:cstheme="majorHAnsi"/>
          <w:sz w:val="24"/>
          <w:szCs w:val="24"/>
        </w:rPr>
        <w:t>Anamu</w:t>
      </w:r>
      <w:proofErr w:type="spellEnd"/>
      <w:r w:rsidRPr="00C90781">
        <w:rPr>
          <w:rFonts w:asciiTheme="majorHAnsi" w:hAnsiTheme="majorHAnsi" w:cstheme="majorHAnsi"/>
          <w:sz w:val="24"/>
          <w:szCs w:val="24"/>
        </w:rPr>
        <w:t xml:space="preserve"> the more effective in inducing cell death. The combination of extracts with chemo agents showed synergistic or antagonistic effects in the patients’ blasts. </w:t>
      </w:r>
    </w:p>
    <w:p w14:paraId="418286E1" w14:textId="74F2E4B4" w:rsidR="003E5795" w:rsidRPr="00C90781" w:rsidRDefault="003E5795" w:rsidP="003E5795">
      <w:pPr>
        <w:jc w:val="both"/>
        <w:rPr>
          <w:rFonts w:asciiTheme="majorHAnsi" w:hAnsiTheme="majorHAnsi" w:cstheme="majorHAnsi"/>
          <w:sz w:val="24"/>
          <w:szCs w:val="24"/>
        </w:rPr>
      </w:pPr>
      <w:r w:rsidRPr="00C90781">
        <w:rPr>
          <w:rFonts w:asciiTheme="majorHAnsi" w:hAnsiTheme="majorHAnsi" w:cstheme="majorHAnsi"/>
          <w:b/>
          <w:bCs/>
          <w:sz w:val="24"/>
          <w:szCs w:val="24"/>
        </w:rPr>
        <w:t>Conclusions:</w:t>
      </w:r>
      <w:r w:rsidRPr="00C90781">
        <w:rPr>
          <w:rFonts w:asciiTheme="majorHAnsi" w:hAnsiTheme="majorHAnsi" w:cstheme="majorHAnsi"/>
          <w:sz w:val="24"/>
          <w:szCs w:val="24"/>
        </w:rPr>
        <w:t xml:space="preserve"> On the developed platform for evaluate the ex-vivo response to chemotherapy and extracts, the </w:t>
      </w:r>
      <w:proofErr w:type="spellStart"/>
      <w:r w:rsidRPr="00C90781">
        <w:rPr>
          <w:rFonts w:asciiTheme="majorHAnsi" w:hAnsiTheme="majorHAnsi" w:cstheme="majorHAnsi"/>
          <w:sz w:val="24"/>
          <w:szCs w:val="24"/>
        </w:rPr>
        <w:t>Anamu</w:t>
      </w:r>
      <w:proofErr w:type="spellEnd"/>
      <w:r w:rsidRPr="00C90781">
        <w:rPr>
          <w:rFonts w:asciiTheme="majorHAnsi" w:hAnsiTheme="majorHAnsi" w:cstheme="majorHAnsi"/>
          <w:sz w:val="24"/>
          <w:szCs w:val="24"/>
        </w:rPr>
        <w:t xml:space="preserve"> extract seems to have a greater response in AML and on the cells of those patients resistant to induction therapy. The platforms results are correlated with the response to induction and to the OS. These analyzes would allow establishing a system to predict response to treatment and determine ex-vivo susceptibility to new therapies under development, among them </w:t>
      </w:r>
      <w:proofErr w:type="spellStart"/>
      <w:r w:rsidRPr="00C90781">
        <w:rPr>
          <w:rFonts w:asciiTheme="majorHAnsi" w:hAnsiTheme="majorHAnsi" w:cstheme="majorHAnsi"/>
          <w:sz w:val="24"/>
          <w:szCs w:val="24"/>
        </w:rPr>
        <w:t>phytotherapeutics</w:t>
      </w:r>
      <w:proofErr w:type="spellEnd"/>
      <w:r w:rsidRPr="00C90781">
        <w:rPr>
          <w:rFonts w:asciiTheme="majorHAnsi" w:hAnsiTheme="majorHAnsi" w:cstheme="majorHAnsi"/>
          <w:sz w:val="24"/>
          <w:szCs w:val="24"/>
        </w:rPr>
        <w:t>.</w:t>
      </w:r>
    </w:p>
    <w:p w14:paraId="477D4CFD" w14:textId="77777777" w:rsidR="003E5795" w:rsidRPr="00C90781" w:rsidRDefault="003E5795" w:rsidP="003E5795">
      <w:pPr>
        <w:jc w:val="both"/>
        <w:rPr>
          <w:rFonts w:asciiTheme="majorHAnsi" w:hAnsiTheme="majorHAnsi" w:cstheme="majorHAnsi"/>
          <w:i/>
          <w:iCs/>
          <w:color w:val="000000" w:themeColor="text1"/>
          <w:sz w:val="24"/>
          <w:szCs w:val="24"/>
          <w:lang w:val="es-CO"/>
        </w:rPr>
      </w:pPr>
      <w:r w:rsidRPr="00C90781">
        <w:rPr>
          <w:rFonts w:asciiTheme="majorHAnsi" w:hAnsiTheme="majorHAnsi" w:cstheme="majorHAnsi"/>
          <w:i/>
          <w:iCs/>
          <w:color w:val="000000" w:themeColor="text1"/>
          <w:sz w:val="24"/>
          <w:szCs w:val="24"/>
          <w:lang w:val="es-CO"/>
        </w:rPr>
        <w:t>Ricardo Ballesteros-Ramírez</w:t>
      </w:r>
      <w:r w:rsidRPr="00C90781">
        <w:rPr>
          <w:rFonts w:asciiTheme="majorHAnsi" w:hAnsiTheme="majorHAnsi" w:cstheme="majorHAnsi"/>
          <w:i/>
          <w:iCs/>
          <w:color w:val="000000" w:themeColor="text1"/>
          <w:sz w:val="24"/>
          <w:szCs w:val="24"/>
          <w:vertAlign w:val="superscript"/>
          <w:lang w:val="es-CO"/>
        </w:rPr>
        <w:t>1</w:t>
      </w:r>
      <w:r w:rsidRPr="00C90781">
        <w:rPr>
          <w:rFonts w:asciiTheme="majorHAnsi" w:hAnsiTheme="majorHAnsi" w:cstheme="majorHAnsi"/>
          <w:i/>
          <w:iCs/>
          <w:color w:val="000000" w:themeColor="text1"/>
          <w:sz w:val="24"/>
          <w:szCs w:val="24"/>
          <w:lang w:val="es-CO"/>
        </w:rPr>
        <w:t>, Eliana Aldana</w:t>
      </w:r>
      <w:r w:rsidRPr="00C90781">
        <w:rPr>
          <w:rFonts w:asciiTheme="majorHAnsi" w:hAnsiTheme="majorHAnsi" w:cstheme="majorHAnsi"/>
          <w:i/>
          <w:iCs/>
          <w:color w:val="000000" w:themeColor="text1"/>
          <w:sz w:val="24"/>
          <w:szCs w:val="24"/>
          <w:vertAlign w:val="superscript"/>
          <w:lang w:val="es-CO"/>
        </w:rPr>
        <w:t>1</w:t>
      </w:r>
      <w:r w:rsidRPr="00C90781">
        <w:rPr>
          <w:rFonts w:asciiTheme="majorHAnsi" w:hAnsiTheme="majorHAnsi" w:cstheme="majorHAnsi"/>
          <w:i/>
          <w:iCs/>
          <w:color w:val="000000" w:themeColor="text1"/>
          <w:sz w:val="24"/>
          <w:szCs w:val="24"/>
          <w:lang w:val="es-CO"/>
        </w:rPr>
        <w:t>, María Victoria Herrera</w:t>
      </w:r>
      <w:r w:rsidRPr="00C90781">
        <w:rPr>
          <w:rFonts w:asciiTheme="majorHAnsi" w:hAnsiTheme="majorHAnsi" w:cstheme="majorHAnsi"/>
          <w:i/>
          <w:iCs/>
          <w:color w:val="000000" w:themeColor="text1"/>
          <w:sz w:val="24"/>
          <w:szCs w:val="24"/>
          <w:vertAlign w:val="superscript"/>
          <w:lang w:val="es-CO"/>
        </w:rPr>
        <w:t>2</w:t>
      </w:r>
      <w:r w:rsidRPr="00C90781">
        <w:rPr>
          <w:rFonts w:asciiTheme="majorHAnsi" w:hAnsiTheme="majorHAnsi" w:cstheme="majorHAnsi"/>
          <w:i/>
          <w:iCs/>
          <w:color w:val="000000" w:themeColor="text1"/>
          <w:sz w:val="24"/>
          <w:szCs w:val="24"/>
          <w:lang w:val="es-CO"/>
        </w:rPr>
        <w:t>, Claudia Urueña</w:t>
      </w:r>
      <w:r w:rsidRPr="00C90781">
        <w:rPr>
          <w:rFonts w:asciiTheme="majorHAnsi" w:hAnsiTheme="majorHAnsi" w:cstheme="majorHAnsi"/>
          <w:i/>
          <w:iCs/>
          <w:color w:val="000000" w:themeColor="text1"/>
          <w:sz w:val="24"/>
          <w:szCs w:val="24"/>
          <w:vertAlign w:val="superscript"/>
          <w:lang w:val="es-CO"/>
        </w:rPr>
        <w:t>1</w:t>
      </w:r>
      <w:r w:rsidRPr="00C90781">
        <w:rPr>
          <w:rFonts w:asciiTheme="majorHAnsi" w:hAnsiTheme="majorHAnsi" w:cstheme="majorHAnsi"/>
          <w:i/>
          <w:iCs/>
          <w:color w:val="000000" w:themeColor="text1"/>
          <w:sz w:val="24"/>
          <w:szCs w:val="24"/>
          <w:lang w:val="es-CO"/>
        </w:rPr>
        <w:t xml:space="preserve">, Laura </w:t>
      </w:r>
      <w:proofErr w:type="spellStart"/>
      <w:r w:rsidRPr="00C90781">
        <w:rPr>
          <w:rFonts w:asciiTheme="majorHAnsi" w:hAnsiTheme="majorHAnsi" w:cstheme="majorHAnsi"/>
          <w:i/>
          <w:iCs/>
          <w:color w:val="000000" w:themeColor="text1"/>
          <w:sz w:val="24"/>
          <w:szCs w:val="24"/>
          <w:lang w:val="es-CO"/>
        </w:rPr>
        <w:t>Yinneth</w:t>
      </w:r>
      <w:proofErr w:type="spellEnd"/>
      <w:r w:rsidRPr="00C90781">
        <w:rPr>
          <w:rFonts w:asciiTheme="majorHAnsi" w:hAnsiTheme="majorHAnsi" w:cstheme="majorHAnsi"/>
          <w:i/>
          <w:iCs/>
          <w:color w:val="000000" w:themeColor="text1"/>
          <w:sz w:val="24"/>
          <w:szCs w:val="24"/>
          <w:lang w:val="es-CO"/>
        </w:rPr>
        <w:t xml:space="preserve"> Rojas</w:t>
      </w:r>
      <w:r w:rsidRPr="00C90781">
        <w:rPr>
          <w:rFonts w:asciiTheme="majorHAnsi" w:hAnsiTheme="majorHAnsi" w:cstheme="majorHAnsi"/>
          <w:i/>
          <w:iCs/>
          <w:color w:val="000000" w:themeColor="text1"/>
          <w:sz w:val="24"/>
          <w:szCs w:val="24"/>
          <w:vertAlign w:val="superscript"/>
          <w:lang w:val="es-CO"/>
        </w:rPr>
        <w:t>1</w:t>
      </w:r>
      <w:r w:rsidRPr="00C90781">
        <w:rPr>
          <w:rFonts w:asciiTheme="majorHAnsi" w:hAnsiTheme="majorHAnsi" w:cstheme="majorHAnsi"/>
          <w:i/>
          <w:iCs/>
          <w:color w:val="000000" w:themeColor="text1"/>
          <w:sz w:val="24"/>
          <w:szCs w:val="24"/>
          <w:lang w:val="es-CO"/>
        </w:rPr>
        <w:t>, Luis Fernando Echeverri</w:t>
      </w:r>
      <w:r w:rsidRPr="00C90781">
        <w:rPr>
          <w:rFonts w:asciiTheme="majorHAnsi" w:hAnsiTheme="majorHAnsi" w:cstheme="majorHAnsi"/>
          <w:i/>
          <w:iCs/>
          <w:color w:val="000000" w:themeColor="text1"/>
          <w:sz w:val="24"/>
          <w:szCs w:val="24"/>
          <w:vertAlign w:val="superscript"/>
          <w:lang w:val="es-CO"/>
        </w:rPr>
        <w:t>3</w:t>
      </w:r>
      <w:r w:rsidRPr="00C90781">
        <w:rPr>
          <w:rFonts w:asciiTheme="majorHAnsi" w:hAnsiTheme="majorHAnsi" w:cstheme="majorHAnsi"/>
          <w:i/>
          <w:iCs/>
          <w:color w:val="000000" w:themeColor="text1"/>
          <w:sz w:val="24"/>
          <w:szCs w:val="24"/>
          <w:lang w:val="es-CO"/>
        </w:rPr>
        <w:t xml:space="preserve">, Geison </w:t>
      </w:r>
      <w:proofErr w:type="spellStart"/>
      <w:r w:rsidRPr="00C90781">
        <w:rPr>
          <w:rFonts w:asciiTheme="majorHAnsi" w:hAnsiTheme="majorHAnsi" w:cstheme="majorHAnsi"/>
          <w:i/>
          <w:iCs/>
          <w:color w:val="000000" w:themeColor="text1"/>
          <w:sz w:val="24"/>
          <w:szCs w:val="24"/>
          <w:lang w:val="es-CO"/>
        </w:rPr>
        <w:t>Modesti</w:t>
      </w:r>
      <w:proofErr w:type="spellEnd"/>
      <w:r w:rsidRPr="00C90781">
        <w:rPr>
          <w:rFonts w:asciiTheme="majorHAnsi" w:hAnsiTheme="majorHAnsi" w:cstheme="majorHAnsi"/>
          <w:i/>
          <w:iCs/>
          <w:color w:val="000000" w:themeColor="text1"/>
          <w:sz w:val="24"/>
          <w:szCs w:val="24"/>
          <w:lang w:val="es-CO"/>
        </w:rPr>
        <w:t xml:space="preserve"> Costa</w:t>
      </w:r>
      <w:proofErr w:type="gramStart"/>
      <w:r w:rsidRPr="00C90781">
        <w:rPr>
          <w:rFonts w:asciiTheme="majorHAnsi" w:hAnsiTheme="majorHAnsi" w:cstheme="majorHAnsi"/>
          <w:i/>
          <w:iCs/>
          <w:color w:val="000000" w:themeColor="text1"/>
          <w:sz w:val="24"/>
          <w:szCs w:val="24"/>
          <w:vertAlign w:val="superscript"/>
          <w:lang w:val="es-CO"/>
        </w:rPr>
        <w:t>4</w:t>
      </w:r>
      <w:r w:rsidRPr="00C90781">
        <w:rPr>
          <w:rFonts w:asciiTheme="majorHAnsi" w:hAnsiTheme="majorHAnsi" w:cstheme="majorHAnsi"/>
          <w:i/>
          <w:iCs/>
          <w:color w:val="000000" w:themeColor="text1"/>
          <w:sz w:val="24"/>
          <w:szCs w:val="24"/>
          <w:lang w:val="es-CO"/>
        </w:rPr>
        <w:t>,  Sandra</w:t>
      </w:r>
      <w:proofErr w:type="gramEnd"/>
      <w:r w:rsidRPr="00C90781">
        <w:rPr>
          <w:rFonts w:asciiTheme="majorHAnsi" w:hAnsiTheme="majorHAnsi" w:cstheme="majorHAnsi"/>
          <w:i/>
          <w:iCs/>
          <w:color w:val="000000" w:themeColor="text1"/>
          <w:sz w:val="24"/>
          <w:szCs w:val="24"/>
          <w:lang w:val="es-CO"/>
        </w:rPr>
        <w:t xml:space="preserve"> Quijano</w:t>
      </w:r>
      <w:r w:rsidRPr="00C90781">
        <w:rPr>
          <w:rFonts w:asciiTheme="majorHAnsi" w:hAnsiTheme="majorHAnsi" w:cstheme="majorHAnsi"/>
          <w:i/>
          <w:iCs/>
          <w:color w:val="000000" w:themeColor="text1"/>
          <w:sz w:val="24"/>
          <w:szCs w:val="24"/>
          <w:vertAlign w:val="superscript"/>
          <w:lang w:val="es-CO"/>
        </w:rPr>
        <w:t>1</w:t>
      </w:r>
      <w:r w:rsidRPr="00C90781">
        <w:rPr>
          <w:rFonts w:asciiTheme="majorHAnsi" w:hAnsiTheme="majorHAnsi" w:cstheme="majorHAnsi"/>
          <w:i/>
          <w:iCs/>
          <w:color w:val="000000" w:themeColor="text1"/>
          <w:sz w:val="24"/>
          <w:szCs w:val="24"/>
          <w:lang w:val="es-CO"/>
        </w:rPr>
        <w:t>, Susana Fiorentino</w:t>
      </w:r>
      <w:r w:rsidRPr="00C90781">
        <w:rPr>
          <w:rFonts w:asciiTheme="majorHAnsi" w:hAnsiTheme="majorHAnsi" w:cstheme="majorHAnsi"/>
          <w:i/>
          <w:iCs/>
          <w:color w:val="000000" w:themeColor="text1"/>
          <w:sz w:val="24"/>
          <w:szCs w:val="24"/>
          <w:vertAlign w:val="superscript"/>
          <w:lang w:val="es-CO"/>
        </w:rPr>
        <w:t>1*</w:t>
      </w:r>
      <w:r w:rsidRPr="00C90781">
        <w:rPr>
          <w:rFonts w:asciiTheme="majorHAnsi" w:hAnsiTheme="majorHAnsi" w:cstheme="majorHAnsi"/>
          <w:i/>
          <w:iCs/>
          <w:color w:val="000000" w:themeColor="text1"/>
          <w:sz w:val="24"/>
          <w:szCs w:val="24"/>
          <w:lang w:val="es-CO"/>
        </w:rPr>
        <w:t>.</w:t>
      </w:r>
    </w:p>
    <w:p w14:paraId="2CFF6B4A" w14:textId="77777777" w:rsidR="003E5795" w:rsidRPr="008C2847" w:rsidRDefault="003E5795" w:rsidP="003E5795">
      <w:pPr>
        <w:jc w:val="both"/>
        <w:rPr>
          <w:rFonts w:asciiTheme="majorHAnsi" w:hAnsiTheme="majorHAnsi" w:cstheme="majorHAnsi"/>
          <w:i/>
          <w:iCs/>
          <w:color w:val="000000" w:themeColor="text1"/>
          <w:sz w:val="18"/>
          <w:szCs w:val="18"/>
          <w:lang w:val="es-CO"/>
        </w:rPr>
      </w:pPr>
    </w:p>
    <w:p w14:paraId="5DC3C681" w14:textId="77777777" w:rsidR="003E5795" w:rsidRPr="008C2847" w:rsidRDefault="003E5795" w:rsidP="003E5795">
      <w:pPr>
        <w:jc w:val="both"/>
        <w:rPr>
          <w:rFonts w:asciiTheme="majorHAnsi" w:hAnsiTheme="majorHAnsi" w:cstheme="majorHAnsi"/>
          <w:i/>
          <w:iCs/>
          <w:color w:val="000000" w:themeColor="text1"/>
          <w:sz w:val="18"/>
          <w:szCs w:val="18"/>
          <w:lang w:val="es-CO"/>
        </w:rPr>
      </w:pPr>
      <w:r w:rsidRPr="008C2847">
        <w:rPr>
          <w:rFonts w:asciiTheme="majorHAnsi" w:hAnsiTheme="majorHAnsi" w:cstheme="majorHAnsi"/>
          <w:i/>
          <w:iCs/>
          <w:color w:val="000000" w:themeColor="text1"/>
          <w:sz w:val="18"/>
          <w:szCs w:val="18"/>
          <w:vertAlign w:val="superscript"/>
        </w:rPr>
        <w:t>1</w:t>
      </w:r>
      <w:r w:rsidRPr="008C2847">
        <w:rPr>
          <w:rFonts w:asciiTheme="majorHAnsi" w:hAnsiTheme="majorHAnsi" w:cstheme="majorHAnsi"/>
          <w:i/>
          <w:iCs/>
          <w:color w:val="000000" w:themeColor="text1"/>
          <w:sz w:val="18"/>
          <w:szCs w:val="18"/>
        </w:rPr>
        <w:t xml:space="preserve">Grupo de </w:t>
      </w:r>
      <w:proofErr w:type="spellStart"/>
      <w:r w:rsidRPr="008C2847">
        <w:rPr>
          <w:rFonts w:asciiTheme="majorHAnsi" w:hAnsiTheme="majorHAnsi" w:cstheme="majorHAnsi"/>
          <w:i/>
          <w:iCs/>
          <w:color w:val="000000" w:themeColor="text1"/>
          <w:sz w:val="18"/>
          <w:szCs w:val="18"/>
        </w:rPr>
        <w:t>Inmunobiología</w:t>
      </w:r>
      <w:proofErr w:type="spellEnd"/>
      <w:r w:rsidRPr="008C2847">
        <w:rPr>
          <w:rFonts w:asciiTheme="majorHAnsi" w:hAnsiTheme="majorHAnsi" w:cstheme="majorHAnsi"/>
          <w:i/>
          <w:iCs/>
          <w:color w:val="000000" w:themeColor="text1"/>
          <w:sz w:val="18"/>
          <w:szCs w:val="18"/>
        </w:rPr>
        <w:t xml:space="preserve"> y </w:t>
      </w:r>
      <w:proofErr w:type="spellStart"/>
      <w:r w:rsidRPr="008C2847">
        <w:rPr>
          <w:rFonts w:asciiTheme="majorHAnsi" w:hAnsiTheme="majorHAnsi" w:cstheme="majorHAnsi"/>
          <w:i/>
          <w:iCs/>
          <w:color w:val="000000" w:themeColor="text1"/>
          <w:sz w:val="18"/>
          <w:szCs w:val="18"/>
        </w:rPr>
        <w:t>Biología</w:t>
      </w:r>
      <w:proofErr w:type="spellEnd"/>
      <w:r w:rsidRPr="008C2847">
        <w:rPr>
          <w:rFonts w:asciiTheme="majorHAnsi" w:hAnsiTheme="majorHAnsi" w:cstheme="majorHAnsi"/>
          <w:i/>
          <w:iCs/>
          <w:color w:val="000000" w:themeColor="text1"/>
          <w:sz w:val="18"/>
          <w:szCs w:val="18"/>
        </w:rPr>
        <w:t xml:space="preserve"> </w:t>
      </w:r>
      <w:proofErr w:type="spellStart"/>
      <w:r w:rsidRPr="008C2847">
        <w:rPr>
          <w:rFonts w:asciiTheme="majorHAnsi" w:hAnsiTheme="majorHAnsi" w:cstheme="majorHAnsi"/>
          <w:i/>
          <w:iCs/>
          <w:color w:val="000000" w:themeColor="text1"/>
          <w:sz w:val="18"/>
          <w:szCs w:val="18"/>
        </w:rPr>
        <w:t>Celular</w:t>
      </w:r>
      <w:proofErr w:type="spellEnd"/>
      <w:r w:rsidRPr="008C2847">
        <w:rPr>
          <w:rFonts w:asciiTheme="majorHAnsi" w:hAnsiTheme="majorHAnsi" w:cstheme="majorHAnsi"/>
          <w:i/>
          <w:iCs/>
          <w:color w:val="000000" w:themeColor="text1"/>
          <w:sz w:val="18"/>
          <w:szCs w:val="18"/>
        </w:rPr>
        <w:t xml:space="preserve">, Unidad de </w:t>
      </w:r>
      <w:proofErr w:type="spellStart"/>
      <w:r w:rsidRPr="008C2847">
        <w:rPr>
          <w:rFonts w:asciiTheme="majorHAnsi" w:hAnsiTheme="majorHAnsi" w:cstheme="majorHAnsi"/>
          <w:i/>
          <w:iCs/>
          <w:color w:val="000000" w:themeColor="text1"/>
          <w:sz w:val="18"/>
          <w:szCs w:val="18"/>
        </w:rPr>
        <w:t>Investigación</w:t>
      </w:r>
      <w:proofErr w:type="spellEnd"/>
      <w:r w:rsidRPr="008C2847">
        <w:rPr>
          <w:rFonts w:asciiTheme="majorHAnsi" w:hAnsiTheme="majorHAnsi" w:cstheme="majorHAnsi"/>
          <w:i/>
          <w:iCs/>
          <w:color w:val="000000" w:themeColor="text1"/>
          <w:sz w:val="18"/>
          <w:szCs w:val="18"/>
        </w:rPr>
        <w:t xml:space="preserve"> </w:t>
      </w:r>
      <w:proofErr w:type="spellStart"/>
      <w:r w:rsidRPr="008C2847">
        <w:rPr>
          <w:rFonts w:asciiTheme="majorHAnsi" w:hAnsiTheme="majorHAnsi" w:cstheme="majorHAnsi"/>
          <w:i/>
          <w:iCs/>
          <w:color w:val="000000" w:themeColor="text1"/>
          <w:sz w:val="18"/>
          <w:szCs w:val="18"/>
        </w:rPr>
        <w:t>en</w:t>
      </w:r>
      <w:proofErr w:type="spellEnd"/>
      <w:r w:rsidRPr="008C2847">
        <w:rPr>
          <w:rFonts w:asciiTheme="majorHAnsi" w:hAnsiTheme="majorHAnsi" w:cstheme="majorHAnsi"/>
          <w:i/>
          <w:iCs/>
          <w:color w:val="000000" w:themeColor="text1"/>
          <w:sz w:val="18"/>
          <w:szCs w:val="18"/>
        </w:rPr>
        <w:t xml:space="preserve"> </w:t>
      </w:r>
      <w:proofErr w:type="spellStart"/>
      <w:r w:rsidRPr="008C2847">
        <w:rPr>
          <w:rFonts w:asciiTheme="majorHAnsi" w:hAnsiTheme="majorHAnsi" w:cstheme="majorHAnsi"/>
          <w:i/>
          <w:iCs/>
          <w:color w:val="000000" w:themeColor="text1"/>
          <w:sz w:val="18"/>
          <w:szCs w:val="18"/>
        </w:rPr>
        <w:t>Ciencias</w:t>
      </w:r>
      <w:proofErr w:type="spellEnd"/>
      <w:r w:rsidRPr="008C2847">
        <w:rPr>
          <w:rFonts w:asciiTheme="majorHAnsi" w:hAnsiTheme="majorHAnsi" w:cstheme="majorHAnsi"/>
          <w:i/>
          <w:iCs/>
          <w:color w:val="000000" w:themeColor="text1"/>
          <w:sz w:val="18"/>
          <w:szCs w:val="18"/>
        </w:rPr>
        <w:t xml:space="preserve"> </w:t>
      </w:r>
      <w:proofErr w:type="spellStart"/>
      <w:r w:rsidRPr="008C2847">
        <w:rPr>
          <w:rFonts w:asciiTheme="majorHAnsi" w:hAnsiTheme="majorHAnsi" w:cstheme="majorHAnsi"/>
          <w:i/>
          <w:iCs/>
          <w:color w:val="000000" w:themeColor="text1"/>
          <w:sz w:val="18"/>
          <w:szCs w:val="18"/>
        </w:rPr>
        <w:t>Biomédicas</w:t>
      </w:r>
      <w:proofErr w:type="spellEnd"/>
      <w:r w:rsidRPr="008C2847">
        <w:rPr>
          <w:rFonts w:asciiTheme="majorHAnsi" w:hAnsiTheme="majorHAnsi" w:cstheme="majorHAnsi"/>
          <w:i/>
          <w:iCs/>
          <w:color w:val="000000" w:themeColor="text1"/>
          <w:sz w:val="18"/>
          <w:szCs w:val="18"/>
        </w:rPr>
        <w:t xml:space="preserve">, </w:t>
      </w:r>
      <w:proofErr w:type="spellStart"/>
      <w:r w:rsidRPr="008C2847">
        <w:rPr>
          <w:rFonts w:asciiTheme="majorHAnsi" w:hAnsiTheme="majorHAnsi" w:cstheme="majorHAnsi"/>
          <w:i/>
          <w:iCs/>
          <w:color w:val="000000" w:themeColor="text1"/>
          <w:sz w:val="18"/>
          <w:szCs w:val="18"/>
        </w:rPr>
        <w:t>Facultad</w:t>
      </w:r>
      <w:proofErr w:type="spellEnd"/>
      <w:r w:rsidRPr="008C2847">
        <w:rPr>
          <w:rFonts w:asciiTheme="majorHAnsi" w:hAnsiTheme="majorHAnsi" w:cstheme="majorHAnsi"/>
          <w:i/>
          <w:iCs/>
          <w:color w:val="000000" w:themeColor="text1"/>
          <w:sz w:val="18"/>
          <w:szCs w:val="18"/>
        </w:rPr>
        <w:t xml:space="preserve"> de </w:t>
      </w:r>
      <w:proofErr w:type="spellStart"/>
      <w:r w:rsidRPr="008C2847">
        <w:rPr>
          <w:rFonts w:asciiTheme="majorHAnsi" w:hAnsiTheme="majorHAnsi" w:cstheme="majorHAnsi"/>
          <w:i/>
          <w:iCs/>
          <w:color w:val="000000" w:themeColor="text1"/>
          <w:sz w:val="18"/>
          <w:szCs w:val="18"/>
        </w:rPr>
        <w:t>Ciencias</w:t>
      </w:r>
      <w:proofErr w:type="spellEnd"/>
      <w:r w:rsidRPr="008C2847">
        <w:rPr>
          <w:rFonts w:asciiTheme="majorHAnsi" w:hAnsiTheme="majorHAnsi" w:cstheme="majorHAnsi"/>
          <w:i/>
          <w:iCs/>
          <w:color w:val="000000" w:themeColor="text1"/>
          <w:sz w:val="18"/>
          <w:szCs w:val="18"/>
        </w:rPr>
        <w:t xml:space="preserve">, Pontificia Universidad Javeriana. </w:t>
      </w:r>
      <w:r w:rsidRPr="008C2847">
        <w:rPr>
          <w:rFonts w:asciiTheme="majorHAnsi" w:hAnsiTheme="majorHAnsi" w:cstheme="majorHAnsi"/>
          <w:i/>
          <w:iCs/>
          <w:color w:val="000000" w:themeColor="text1"/>
          <w:sz w:val="18"/>
          <w:szCs w:val="18"/>
          <w:lang w:val="es-CO"/>
        </w:rPr>
        <w:t>Bogotá, Colombia.</w:t>
      </w:r>
    </w:p>
    <w:p w14:paraId="3AA32DC9" w14:textId="77777777" w:rsidR="003E5795" w:rsidRPr="008C2847" w:rsidRDefault="003E5795" w:rsidP="003E5795">
      <w:pPr>
        <w:jc w:val="both"/>
        <w:rPr>
          <w:rFonts w:asciiTheme="majorHAnsi" w:hAnsiTheme="majorHAnsi" w:cstheme="majorHAnsi"/>
          <w:i/>
          <w:iCs/>
          <w:sz w:val="18"/>
          <w:szCs w:val="18"/>
          <w:lang w:val="es-CO"/>
        </w:rPr>
      </w:pPr>
      <w:r w:rsidRPr="008C2847">
        <w:rPr>
          <w:rFonts w:asciiTheme="majorHAnsi" w:hAnsiTheme="majorHAnsi" w:cstheme="majorHAnsi"/>
          <w:i/>
          <w:iCs/>
          <w:sz w:val="18"/>
          <w:szCs w:val="18"/>
          <w:vertAlign w:val="superscript"/>
          <w:lang w:val="es-CO"/>
        </w:rPr>
        <w:t>2</w:t>
      </w:r>
      <w:r w:rsidRPr="008C2847">
        <w:rPr>
          <w:rFonts w:asciiTheme="majorHAnsi" w:hAnsiTheme="majorHAnsi" w:cstheme="majorHAnsi"/>
          <w:i/>
          <w:iCs/>
          <w:sz w:val="18"/>
          <w:szCs w:val="18"/>
          <w:lang w:val="es-CO"/>
        </w:rPr>
        <w:t>Servicio de Hematología, Hospital Universitario San Ignacio. Bogotá, Colombia.</w:t>
      </w:r>
    </w:p>
    <w:p w14:paraId="21205994" w14:textId="77777777" w:rsidR="003E5795" w:rsidRPr="008C2847" w:rsidRDefault="003E5795" w:rsidP="003E5795">
      <w:pPr>
        <w:jc w:val="both"/>
        <w:rPr>
          <w:rFonts w:asciiTheme="majorHAnsi" w:hAnsiTheme="majorHAnsi" w:cstheme="majorHAnsi"/>
          <w:i/>
          <w:iCs/>
          <w:sz w:val="18"/>
          <w:szCs w:val="18"/>
          <w:lang w:val="es-CO"/>
        </w:rPr>
      </w:pPr>
      <w:r w:rsidRPr="008C2847">
        <w:rPr>
          <w:rFonts w:asciiTheme="majorHAnsi" w:hAnsiTheme="majorHAnsi" w:cstheme="majorHAnsi"/>
          <w:i/>
          <w:iCs/>
          <w:sz w:val="18"/>
          <w:szCs w:val="18"/>
          <w:vertAlign w:val="superscript"/>
          <w:lang w:val="es-CO"/>
        </w:rPr>
        <w:t>3</w:t>
      </w:r>
      <w:r w:rsidRPr="008C2847">
        <w:rPr>
          <w:rFonts w:asciiTheme="majorHAnsi" w:hAnsiTheme="majorHAnsi" w:cstheme="majorHAnsi"/>
          <w:i/>
          <w:iCs/>
          <w:sz w:val="18"/>
          <w:szCs w:val="18"/>
          <w:lang w:val="es-CO"/>
        </w:rPr>
        <w:t>Grupo de Química Orgánica de Productos Naturales (QOPN), Facultad de Ciencias Exactas y Naturales, Universidad de Antioquia. Medellín, Colombia</w:t>
      </w:r>
    </w:p>
    <w:p w14:paraId="71194945" w14:textId="77777777" w:rsidR="003E5795" w:rsidRPr="008C2847" w:rsidRDefault="003E5795" w:rsidP="003E5795">
      <w:pPr>
        <w:jc w:val="both"/>
        <w:rPr>
          <w:rFonts w:asciiTheme="majorHAnsi" w:hAnsiTheme="majorHAnsi" w:cstheme="majorHAnsi"/>
          <w:i/>
          <w:iCs/>
          <w:sz w:val="18"/>
          <w:szCs w:val="18"/>
        </w:rPr>
      </w:pPr>
      <w:r w:rsidRPr="008C2847">
        <w:rPr>
          <w:rFonts w:asciiTheme="majorHAnsi" w:hAnsiTheme="majorHAnsi" w:cstheme="majorHAnsi"/>
          <w:i/>
          <w:iCs/>
          <w:sz w:val="18"/>
          <w:szCs w:val="18"/>
          <w:vertAlign w:val="superscript"/>
          <w:lang w:val="es-CO"/>
        </w:rPr>
        <w:t>4</w:t>
      </w:r>
      <w:r w:rsidRPr="008C2847">
        <w:rPr>
          <w:rFonts w:asciiTheme="majorHAnsi" w:hAnsiTheme="majorHAnsi" w:cstheme="majorHAnsi"/>
          <w:i/>
          <w:iCs/>
          <w:sz w:val="18"/>
          <w:szCs w:val="18"/>
          <w:lang w:val="es-CO"/>
        </w:rPr>
        <w:t xml:space="preserve">Grupo de Investigación Fitoquímica Universidad Javeriana, Departamento de Química, Facultad de Ciencias, Pontificia Universidad Javeriana. </w:t>
      </w:r>
      <w:r w:rsidRPr="008C2847">
        <w:rPr>
          <w:rFonts w:asciiTheme="majorHAnsi" w:hAnsiTheme="majorHAnsi" w:cstheme="majorHAnsi"/>
          <w:i/>
          <w:iCs/>
          <w:sz w:val="18"/>
          <w:szCs w:val="18"/>
        </w:rPr>
        <w:t>Bogotá, Colombia.</w:t>
      </w:r>
    </w:p>
    <w:p w14:paraId="06E225B2" w14:textId="77777777" w:rsidR="009134EA" w:rsidRDefault="009134EA"/>
    <w:sectPr w:rsidR="009134EA"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3F7A39"/>
    <w:multiLevelType w:val="hybridMultilevel"/>
    <w:tmpl w:val="C8C6E9D8"/>
    <w:lvl w:ilvl="0" w:tplc="A7CE0518">
      <w:start w:val="1"/>
      <w:numFmt w:val="decimal"/>
      <w:lvlText w:val="%1)"/>
      <w:lvlJc w:val="left"/>
      <w:pPr>
        <w:ind w:left="72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2A3F0F"/>
    <w:multiLevelType w:val="hybridMultilevel"/>
    <w:tmpl w:val="7250D38C"/>
    <w:lvl w:ilvl="0" w:tplc="04090011">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95"/>
    <w:rsid w:val="003E5795"/>
    <w:rsid w:val="007825E3"/>
    <w:rsid w:val="009134EA"/>
    <w:rsid w:val="00C9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629F5"/>
  <w15:chartTrackingRefBased/>
  <w15:docId w15:val="{C5AE6BB7-77BA-4717-BEFD-986F3818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7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2</cp:revision>
  <dcterms:created xsi:type="dcterms:W3CDTF">2020-10-19T17:24:00Z</dcterms:created>
  <dcterms:modified xsi:type="dcterms:W3CDTF">2020-10-19T17:52:00Z</dcterms:modified>
</cp:coreProperties>
</file>